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C0D10" w14:textId="77777777" w:rsidR="003C2096" w:rsidRPr="00F65C9C" w:rsidRDefault="00E636E6" w:rsidP="00C56087">
      <w:pPr>
        <w:jc w:val="center"/>
        <w:rPr>
          <w:rFonts w:asciiTheme="minorHAnsi" w:hAnsiTheme="minorHAnsi" w:cstheme="minorHAnsi"/>
          <w:b/>
          <w:sz w:val="28"/>
          <w:szCs w:val="28"/>
        </w:rPr>
      </w:pPr>
      <w:r w:rsidRPr="00F65C9C">
        <w:rPr>
          <w:rFonts w:asciiTheme="minorHAnsi" w:hAnsiTheme="minorHAnsi" w:cstheme="minorHAnsi"/>
          <w:b/>
          <w:noProof/>
          <w:sz w:val="28"/>
          <w:szCs w:val="28"/>
        </w:rPr>
        <w:drawing>
          <wp:inline distT="0" distB="0" distL="0" distR="0" wp14:anchorId="00100AA1" wp14:editId="0EDCC7A8">
            <wp:extent cx="1335405" cy="963295"/>
            <wp:effectExtent l="0" t="0" r="0" b="8255"/>
            <wp:docPr id="1" name="Picture 1" descr="Coastal Conserva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963295"/>
                    </a:xfrm>
                    <a:prstGeom prst="rect">
                      <a:avLst/>
                    </a:prstGeom>
                    <a:noFill/>
                  </pic:spPr>
                </pic:pic>
              </a:graphicData>
            </a:graphic>
          </wp:inline>
        </w:drawing>
      </w:r>
    </w:p>
    <w:p w14:paraId="0B82C21F" w14:textId="46E42AD5" w:rsidR="00507A4F" w:rsidRPr="00F65C9C" w:rsidRDefault="00507A4F" w:rsidP="00C56087">
      <w:pPr>
        <w:jc w:val="center"/>
        <w:rPr>
          <w:rFonts w:asciiTheme="minorHAnsi" w:hAnsiTheme="minorHAnsi" w:cstheme="minorHAnsi"/>
          <w:b/>
          <w:sz w:val="28"/>
          <w:szCs w:val="28"/>
        </w:rPr>
      </w:pPr>
      <w:r w:rsidRPr="00F65C9C">
        <w:rPr>
          <w:rFonts w:asciiTheme="minorHAnsi" w:hAnsiTheme="minorHAnsi" w:cstheme="minorHAnsi"/>
          <w:b/>
          <w:sz w:val="28"/>
          <w:szCs w:val="28"/>
        </w:rPr>
        <w:t>State Coastal Conservancy</w:t>
      </w:r>
    </w:p>
    <w:p w14:paraId="325DDAE8" w14:textId="0ACB4275" w:rsidR="005265EC" w:rsidRPr="00F65C9C" w:rsidRDefault="00507A4F" w:rsidP="00246E95">
      <w:pPr>
        <w:jc w:val="center"/>
        <w:rPr>
          <w:rFonts w:asciiTheme="minorHAnsi" w:hAnsiTheme="minorHAnsi" w:cstheme="minorHAnsi"/>
          <w:b/>
          <w:sz w:val="28"/>
          <w:szCs w:val="28"/>
        </w:rPr>
      </w:pPr>
      <w:r w:rsidRPr="00F65C9C">
        <w:rPr>
          <w:rFonts w:asciiTheme="minorHAnsi" w:hAnsiTheme="minorHAnsi" w:cstheme="minorHAnsi"/>
          <w:b/>
          <w:sz w:val="28"/>
          <w:szCs w:val="28"/>
        </w:rPr>
        <w:t>Budget Guidelines for Nonprofits</w:t>
      </w:r>
      <w:r w:rsidR="005265EC" w:rsidRPr="00F65C9C">
        <w:rPr>
          <w:rFonts w:asciiTheme="minorHAnsi" w:hAnsiTheme="minorHAnsi" w:cstheme="minorHAnsi"/>
          <w:b/>
          <w:sz w:val="28"/>
          <w:szCs w:val="28"/>
        </w:rPr>
        <w:t xml:space="preserve"> </w:t>
      </w:r>
    </w:p>
    <w:p w14:paraId="55A3C03C" w14:textId="77777777" w:rsidR="00246E95" w:rsidRPr="00F65C9C" w:rsidRDefault="00246E95" w:rsidP="00246E95">
      <w:pPr>
        <w:jc w:val="center"/>
        <w:rPr>
          <w:rFonts w:asciiTheme="minorHAnsi" w:hAnsiTheme="minorHAnsi" w:cstheme="minorHAnsi"/>
          <w:b/>
          <w:szCs w:val="24"/>
        </w:rPr>
      </w:pPr>
    </w:p>
    <w:p w14:paraId="0612A25B" w14:textId="77777777" w:rsidR="00111148" w:rsidRPr="00F65C9C" w:rsidRDefault="00111148">
      <w:pPr>
        <w:pBdr>
          <w:top w:val="single" w:sz="4" w:space="1" w:color="auto"/>
        </w:pBdr>
        <w:rPr>
          <w:rFonts w:asciiTheme="minorHAnsi" w:hAnsiTheme="minorHAnsi" w:cstheme="minorHAnsi"/>
          <w:szCs w:val="24"/>
        </w:rPr>
      </w:pPr>
    </w:p>
    <w:p w14:paraId="13EB2765" w14:textId="77777777" w:rsidR="00DC78A5" w:rsidRPr="00F65C9C" w:rsidRDefault="008C2BB8">
      <w:pPr>
        <w:pBdr>
          <w:top w:val="single" w:sz="4" w:space="1" w:color="auto"/>
        </w:pBdr>
        <w:rPr>
          <w:rFonts w:asciiTheme="minorHAnsi" w:hAnsiTheme="minorHAnsi" w:cstheme="minorHAnsi"/>
          <w:szCs w:val="24"/>
        </w:rPr>
      </w:pPr>
      <w:r w:rsidRPr="00F65C9C">
        <w:rPr>
          <w:rFonts w:asciiTheme="minorHAnsi" w:hAnsiTheme="minorHAnsi" w:cstheme="minorHAnsi"/>
          <w:szCs w:val="24"/>
        </w:rPr>
        <w:t xml:space="preserve">Nonprofit organizations receiving grant funds from the Coastal Conservancy are </w:t>
      </w:r>
      <w:r w:rsidR="00CD2620" w:rsidRPr="00F65C9C">
        <w:rPr>
          <w:rFonts w:asciiTheme="minorHAnsi" w:hAnsiTheme="minorHAnsi" w:cstheme="minorHAnsi"/>
          <w:szCs w:val="24"/>
        </w:rPr>
        <w:t>requir</w:t>
      </w:r>
      <w:r w:rsidRPr="00F65C9C">
        <w:rPr>
          <w:rFonts w:asciiTheme="minorHAnsi" w:hAnsiTheme="minorHAnsi" w:cstheme="minorHAnsi"/>
          <w:szCs w:val="24"/>
        </w:rPr>
        <w:t xml:space="preserve">ed (in the grant agreement) to meet strict accounting standards.  </w:t>
      </w:r>
      <w:r w:rsidR="00341DDA" w:rsidRPr="00F65C9C">
        <w:rPr>
          <w:rFonts w:asciiTheme="minorHAnsi" w:hAnsiTheme="minorHAnsi" w:cstheme="minorHAnsi"/>
          <w:b/>
          <w:szCs w:val="24"/>
          <w:u w:val="double"/>
        </w:rPr>
        <w:t>Organizations that fail to do so may be liable for repayment of funds.</w:t>
      </w:r>
      <w:r w:rsidR="008C306A" w:rsidRPr="00F65C9C">
        <w:rPr>
          <w:rFonts w:asciiTheme="minorHAnsi" w:hAnsiTheme="minorHAnsi" w:cstheme="minorHAnsi"/>
          <w:szCs w:val="24"/>
        </w:rPr>
        <w:t xml:space="preserve"> </w:t>
      </w:r>
      <w:r w:rsidRPr="00F65C9C">
        <w:rPr>
          <w:rFonts w:asciiTheme="minorHAnsi" w:hAnsiTheme="minorHAnsi" w:cstheme="minorHAnsi"/>
          <w:szCs w:val="24"/>
        </w:rPr>
        <w:t>It is the responsibility of the grantee to ensure that their accounting practices are adequate</w:t>
      </w:r>
      <w:r w:rsidR="00F2699A" w:rsidRPr="00F65C9C">
        <w:rPr>
          <w:rFonts w:asciiTheme="minorHAnsi" w:hAnsiTheme="minorHAnsi" w:cstheme="minorHAnsi"/>
          <w:szCs w:val="24"/>
        </w:rPr>
        <w:t>, in accordance with the guidelines of “Generally Accepted Accounting Principles” (“GAAP”) published by the American Institute of Certified Public Accountant</w:t>
      </w:r>
      <w:r w:rsidR="001E46E5" w:rsidRPr="00F65C9C">
        <w:rPr>
          <w:rFonts w:asciiTheme="minorHAnsi" w:hAnsiTheme="minorHAnsi" w:cstheme="minorHAnsi"/>
          <w:szCs w:val="24"/>
        </w:rPr>
        <w:t>s</w:t>
      </w:r>
      <w:r w:rsidRPr="00F65C9C">
        <w:rPr>
          <w:rFonts w:asciiTheme="minorHAnsi" w:hAnsiTheme="minorHAnsi" w:cstheme="minorHAnsi"/>
          <w:szCs w:val="24"/>
        </w:rPr>
        <w:t>.  All Conservancy grantees should expect to be audited by the State.</w:t>
      </w:r>
      <w:r w:rsidR="00D63A56" w:rsidRPr="00F65C9C">
        <w:rPr>
          <w:rFonts w:asciiTheme="minorHAnsi" w:hAnsiTheme="minorHAnsi" w:cstheme="minorHAnsi"/>
          <w:szCs w:val="24"/>
        </w:rPr>
        <w:t xml:space="preserve"> </w:t>
      </w:r>
    </w:p>
    <w:p w14:paraId="3F531938" w14:textId="77777777" w:rsidR="00DC78A5" w:rsidRPr="00F65C9C" w:rsidRDefault="00DC78A5">
      <w:pPr>
        <w:pBdr>
          <w:top w:val="single" w:sz="4" w:space="1" w:color="auto"/>
        </w:pBdr>
        <w:rPr>
          <w:rFonts w:asciiTheme="minorHAnsi" w:hAnsiTheme="minorHAnsi" w:cstheme="minorHAnsi"/>
          <w:szCs w:val="24"/>
        </w:rPr>
      </w:pPr>
    </w:p>
    <w:p w14:paraId="71FB56C7" w14:textId="77777777" w:rsidR="00DC78A5" w:rsidRPr="00F65C9C" w:rsidRDefault="00DC78A5">
      <w:pPr>
        <w:pBdr>
          <w:top w:val="single" w:sz="4" w:space="1" w:color="auto"/>
        </w:pBdr>
        <w:rPr>
          <w:rFonts w:asciiTheme="minorHAnsi" w:hAnsiTheme="minorHAnsi" w:cstheme="minorHAnsi"/>
          <w:szCs w:val="24"/>
        </w:rPr>
      </w:pPr>
      <w:r w:rsidRPr="00F65C9C">
        <w:rPr>
          <w:rFonts w:asciiTheme="minorHAnsi" w:hAnsiTheme="minorHAnsi" w:cstheme="minorHAnsi"/>
          <w:szCs w:val="24"/>
        </w:rPr>
        <w:t xml:space="preserve">The purpose of this document is to provide general guidance for nonprofit grantees on how to develop a budget for a Coastal Conservancy grant.  As part of its grant making process, the Coastal Conservancy requires a detailed budget and workplan. </w:t>
      </w:r>
      <w:r w:rsidR="00341DDA" w:rsidRPr="00F65C9C">
        <w:rPr>
          <w:rFonts w:asciiTheme="minorHAnsi" w:hAnsiTheme="minorHAnsi" w:cstheme="minorHAnsi"/>
          <w:szCs w:val="24"/>
        </w:rPr>
        <w:t>It is the responsibility of the nonprofit grantee to be sure that the budget and all subsequent billings are justified and documented appropriately.</w:t>
      </w:r>
      <w:r w:rsidRPr="00F65C9C">
        <w:rPr>
          <w:rFonts w:asciiTheme="minorHAnsi" w:hAnsiTheme="minorHAnsi" w:cstheme="minorHAnsi"/>
          <w:szCs w:val="24"/>
        </w:rPr>
        <w:t xml:space="preserve">  Each grantee is encouraged to solicit its own accounting advice and conduct an audit to ensure that its practices are correct.</w:t>
      </w:r>
    </w:p>
    <w:p w14:paraId="523CFD8A" w14:textId="77777777" w:rsidR="00DC78A5" w:rsidRPr="00F65C9C" w:rsidRDefault="00DC78A5">
      <w:pPr>
        <w:pBdr>
          <w:top w:val="single" w:sz="4" w:space="1" w:color="auto"/>
        </w:pBdr>
        <w:rPr>
          <w:rFonts w:asciiTheme="minorHAnsi" w:hAnsiTheme="minorHAnsi" w:cstheme="minorHAnsi"/>
          <w:szCs w:val="24"/>
        </w:rPr>
      </w:pPr>
    </w:p>
    <w:p w14:paraId="08D76AAE" w14:textId="77777777" w:rsidR="00081410" w:rsidRPr="00F65C9C" w:rsidRDefault="00111148" w:rsidP="00081410">
      <w:pPr>
        <w:rPr>
          <w:rFonts w:asciiTheme="minorHAnsi" w:hAnsiTheme="minorHAnsi" w:cstheme="minorHAnsi"/>
          <w:i/>
          <w:szCs w:val="24"/>
          <w:u w:val="single"/>
        </w:rPr>
      </w:pPr>
      <w:r w:rsidRPr="00F65C9C">
        <w:rPr>
          <w:rFonts w:asciiTheme="minorHAnsi" w:hAnsiTheme="minorHAnsi" w:cstheme="minorHAnsi"/>
          <w:b/>
          <w:i/>
          <w:szCs w:val="24"/>
          <w:u w:val="single"/>
        </w:rPr>
        <w:t>Labor Costs</w:t>
      </w:r>
      <w:r w:rsidRPr="00F65C9C">
        <w:rPr>
          <w:rFonts w:asciiTheme="minorHAnsi" w:hAnsiTheme="minorHAnsi" w:cstheme="minorHAnsi"/>
          <w:i/>
          <w:szCs w:val="24"/>
          <w:u w:val="single"/>
        </w:rPr>
        <w:t xml:space="preserve"> </w:t>
      </w:r>
    </w:p>
    <w:p w14:paraId="4B245CFE" w14:textId="213387CC" w:rsidR="00934F2E" w:rsidRPr="00F65C9C" w:rsidRDefault="00746F08" w:rsidP="00746F08">
      <w:pPr>
        <w:rPr>
          <w:rFonts w:asciiTheme="minorHAnsi" w:hAnsiTheme="minorHAnsi" w:cstheme="minorHAnsi"/>
          <w:szCs w:val="24"/>
        </w:rPr>
      </w:pPr>
      <w:r w:rsidRPr="00F65C9C">
        <w:rPr>
          <w:rFonts w:asciiTheme="minorHAnsi" w:hAnsiTheme="minorHAnsi" w:cstheme="minorHAnsi"/>
          <w:b/>
          <w:szCs w:val="24"/>
        </w:rPr>
        <w:t xml:space="preserve">Project Implementation </w:t>
      </w:r>
      <w:r w:rsidR="00650967" w:rsidRPr="00F65C9C">
        <w:rPr>
          <w:rFonts w:asciiTheme="minorHAnsi" w:hAnsiTheme="minorHAnsi" w:cstheme="minorHAnsi"/>
          <w:b/>
          <w:szCs w:val="24"/>
        </w:rPr>
        <w:t>–</w:t>
      </w:r>
      <w:r w:rsidRPr="00F65C9C">
        <w:rPr>
          <w:rFonts w:asciiTheme="minorHAnsi" w:hAnsiTheme="minorHAnsi" w:cstheme="minorHAnsi"/>
          <w:b/>
          <w:szCs w:val="24"/>
        </w:rPr>
        <w:t xml:space="preserve"> </w:t>
      </w:r>
      <w:r w:rsidR="00650967" w:rsidRPr="00F65C9C">
        <w:rPr>
          <w:rFonts w:asciiTheme="minorHAnsi" w:hAnsiTheme="minorHAnsi" w:cstheme="minorHAnsi"/>
          <w:szCs w:val="24"/>
        </w:rPr>
        <w:t>The g</w:t>
      </w:r>
      <w:r w:rsidR="00111148" w:rsidRPr="00F65C9C">
        <w:rPr>
          <w:rFonts w:asciiTheme="minorHAnsi" w:hAnsiTheme="minorHAnsi" w:cstheme="minorHAnsi"/>
          <w:szCs w:val="24"/>
        </w:rPr>
        <w:t>rantee</w:t>
      </w:r>
      <w:r w:rsidR="00C55F79" w:rsidRPr="00F65C9C">
        <w:rPr>
          <w:rFonts w:asciiTheme="minorHAnsi" w:hAnsiTheme="minorHAnsi" w:cstheme="minorHAnsi"/>
          <w:szCs w:val="24"/>
        </w:rPr>
        <w:t>’s</w:t>
      </w:r>
      <w:r w:rsidR="00111148" w:rsidRPr="00F65C9C">
        <w:rPr>
          <w:rFonts w:asciiTheme="minorHAnsi" w:hAnsiTheme="minorHAnsi" w:cstheme="minorHAnsi"/>
          <w:szCs w:val="24"/>
        </w:rPr>
        <w:t xml:space="preserve"> employee labor </w:t>
      </w:r>
      <w:r w:rsidR="00CD2620" w:rsidRPr="00F65C9C">
        <w:rPr>
          <w:rFonts w:asciiTheme="minorHAnsi" w:hAnsiTheme="minorHAnsi" w:cstheme="minorHAnsi"/>
          <w:szCs w:val="24"/>
        </w:rPr>
        <w:t xml:space="preserve">implementing a project </w:t>
      </w:r>
      <w:r w:rsidR="00C55F79" w:rsidRPr="00F65C9C">
        <w:rPr>
          <w:rFonts w:asciiTheme="minorHAnsi" w:hAnsiTheme="minorHAnsi" w:cstheme="minorHAnsi"/>
          <w:szCs w:val="24"/>
        </w:rPr>
        <w:t xml:space="preserve">will be reimbursed </w:t>
      </w:r>
      <w:r w:rsidR="00111148" w:rsidRPr="00F65C9C">
        <w:rPr>
          <w:rFonts w:asciiTheme="minorHAnsi" w:hAnsiTheme="minorHAnsi" w:cstheme="minorHAnsi"/>
          <w:szCs w:val="24"/>
        </w:rPr>
        <w:t xml:space="preserve">at rates </w:t>
      </w:r>
      <w:r w:rsidR="00D92507" w:rsidRPr="00F65C9C">
        <w:rPr>
          <w:rFonts w:asciiTheme="minorHAnsi" w:hAnsiTheme="minorHAnsi" w:cstheme="minorHAnsi"/>
          <w:szCs w:val="24"/>
        </w:rPr>
        <w:t>equal to</w:t>
      </w:r>
      <w:r w:rsidR="00111148" w:rsidRPr="00F65C9C">
        <w:rPr>
          <w:rFonts w:asciiTheme="minorHAnsi" w:hAnsiTheme="minorHAnsi" w:cstheme="minorHAnsi"/>
          <w:szCs w:val="24"/>
        </w:rPr>
        <w:t xml:space="preserve"> compensation </w:t>
      </w:r>
      <w:proofErr w:type="gramStart"/>
      <w:r w:rsidR="00111148" w:rsidRPr="00F65C9C">
        <w:rPr>
          <w:rFonts w:asciiTheme="minorHAnsi" w:hAnsiTheme="minorHAnsi" w:cstheme="minorHAnsi"/>
          <w:szCs w:val="24"/>
        </w:rPr>
        <w:t>actually provided</w:t>
      </w:r>
      <w:proofErr w:type="gramEnd"/>
      <w:r w:rsidR="00111148" w:rsidRPr="00F65C9C">
        <w:rPr>
          <w:rFonts w:asciiTheme="minorHAnsi" w:hAnsiTheme="minorHAnsi" w:cstheme="minorHAnsi"/>
          <w:szCs w:val="24"/>
        </w:rPr>
        <w:t xml:space="preserve"> to the employee (</w:t>
      </w:r>
      <w:r w:rsidR="00B66A97" w:rsidRPr="00F65C9C">
        <w:rPr>
          <w:rFonts w:asciiTheme="minorHAnsi" w:hAnsiTheme="minorHAnsi" w:cstheme="minorHAnsi"/>
          <w:szCs w:val="24"/>
        </w:rPr>
        <w:t xml:space="preserve">salary plus benefits, </w:t>
      </w:r>
      <w:r w:rsidR="00111148" w:rsidRPr="00F65C9C">
        <w:rPr>
          <w:rFonts w:asciiTheme="minorHAnsi" w:hAnsiTheme="minorHAnsi" w:cstheme="minorHAnsi"/>
          <w:szCs w:val="24"/>
        </w:rPr>
        <w:t>including fringe benefits).</w:t>
      </w:r>
      <w:r w:rsidR="00081410" w:rsidRPr="00F65C9C">
        <w:rPr>
          <w:rFonts w:asciiTheme="minorHAnsi" w:hAnsiTheme="minorHAnsi" w:cstheme="minorHAnsi"/>
          <w:szCs w:val="24"/>
        </w:rPr>
        <w:t xml:space="preserve"> </w:t>
      </w:r>
      <w:r w:rsidRPr="00F65C9C">
        <w:rPr>
          <w:rFonts w:asciiTheme="minorHAnsi" w:hAnsiTheme="minorHAnsi" w:cstheme="minorHAnsi"/>
          <w:szCs w:val="24"/>
        </w:rPr>
        <w:t>T</w:t>
      </w:r>
      <w:r w:rsidR="00934F2E" w:rsidRPr="00F65C9C">
        <w:rPr>
          <w:rFonts w:asciiTheme="minorHAnsi" w:hAnsiTheme="minorHAnsi" w:cstheme="minorHAnsi"/>
          <w:szCs w:val="24"/>
        </w:rPr>
        <w:t xml:space="preserve">he cost of </w:t>
      </w:r>
      <w:r w:rsidR="008251E6" w:rsidRPr="00F65C9C">
        <w:rPr>
          <w:rFonts w:asciiTheme="minorHAnsi" w:hAnsiTheme="minorHAnsi" w:cstheme="minorHAnsi"/>
          <w:szCs w:val="24"/>
        </w:rPr>
        <w:t>a</w:t>
      </w:r>
      <w:r w:rsidR="00934F2E" w:rsidRPr="00F65C9C">
        <w:rPr>
          <w:rFonts w:asciiTheme="minorHAnsi" w:hAnsiTheme="minorHAnsi" w:cstheme="minorHAnsi"/>
          <w:szCs w:val="24"/>
        </w:rPr>
        <w:t xml:space="preserve"> </w:t>
      </w:r>
      <w:r w:rsidR="00650967" w:rsidRPr="00F65C9C">
        <w:rPr>
          <w:rFonts w:asciiTheme="minorHAnsi" w:hAnsiTheme="minorHAnsi" w:cstheme="minorHAnsi"/>
          <w:szCs w:val="24"/>
        </w:rPr>
        <w:t>g</w:t>
      </w:r>
      <w:r w:rsidR="00934F2E" w:rsidRPr="00F65C9C">
        <w:rPr>
          <w:rFonts w:asciiTheme="minorHAnsi" w:hAnsiTheme="minorHAnsi" w:cstheme="minorHAnsi"/>
          <w:szCs w:val="24"/>
        </w:rPr>
        <w:t xml:space="preserve">rantee’s labor/staff time to implement specific project </w:t>
      </w:r>
      <w:r w:rsidRPr="00F65C9C">
        <w:rPr>
          <w:rFonts w:asciiTheme="minorHAnsi" w:hAnsiTheme="minorHAnsi" w:cstheme="minorHAnsi"/>
          <w:szCs w:val="24"/>
        </w:rPr>
        <w:t xml:space="preserve">tasks </w:t>
      </w:r>
      <w:r w:rsidR="00934F2E" w:rsidRPr="00F65C9C">
        <w:rPr>
          <w:rFonts w:asciiTheme="minorHAnsi" w:hAnsiTheme="minorHAnsi" w:cstheme="minorHAnsi"/>
          <w:szCs w:val="24"/>
        </w:rPr>
        <w:t>(</w:t>
      </w:r>
      <w:r w:rsidR="00650967" w:rsidRPr="00F65C9C">
        <w:rPr>
          <w:rFonts w:asciiTheme="minorHAnsi" w:hAnsiTheme="minorHAnsi" w:cstheme="minorHAnsi"/>
          <w:szCs w:val="24"/>
        </w:rPr>
        <w:t>for example</w:t>
      </w:r>
      <w:r w:rsidR="00934F2E" w:rsidRPr="00F65C9C">
        <w:rPr>
          <w:rFonts w:asciiTheme="minorHAnsi" w:hAnsiTheme="minorHAnsi" w:cstheme="minorHAnsi"/>
          <w:szCs w:val="24"/>
        </w:rPr>
        <w:t>, prepare a management plan, determine trail alignments)</w:t>
      </w:r>
      <w:r w:rsidR="00052BE3" w:rsidRPr="00F65C9C">
        <w:rPr>
          <w:rFonts w:asciiTheme="minorHAnsi" w:hAnsiTheme="minorHAnsi" w:cstheme="minorHAnsi"/>
          <w:szCs w:val="24"/>
        </w:rPr>
        <w:t xml:space="preserve"> should be included in and billed to specific </w:t>
      </w:r>
      <w:r w:rsidRPr="00F65C9C">
        <w:rPr>
          <w:rFonts w:asciiTheme="minorHAnsi" w:hAnsiTheme="minorHAnsi" w:cstheme="minorHAnsi"/>
          <w:szCs w:val="24"/>
        </w:rPr>
        <w:t>tasks</w:t>
      </w:r>
      <w:r w:rsidR="00052BE3" w:rsidRPr="00F65C9C">
        <w:rPr>
          <w:rFonts w:asciiTheme="minorHAnsi" w:hAnsiTheme="minorHAnsi" w:cstheme="minorHAnsi"/>
          <w:szCs w:val="24"/>
        </w:rPr>
        <w:t xml:space="preserve"> in the </w:t>
      </w:r>
      <w:r w:rsidR="00CD2620" w:rsidRPr="00F65C9C">
        <w:rPr>
          <w:rFonts w:asciiTheme="minorHAnsi" w:hAnsiTheme="minorHAnsi" w:cstheme="minorHAnsi"/>
          <w:szCs w:val="24"/>
        </w:rPr>
        <w:t>budget</w:t>
      </w:r>
      <w:r w:rsidR="00934F2E" w:rsidRPr="00F65C9C">
        <w:rPr>
          <w:rFonts w:asciiTheme="minorHAnsi" w:hAnsiTheme="minorHAnsi" w:cstheme="minorHAnsi"/>
          <w:szCs w:val="24"/>
        </w:rPr>
        <w:t xml:space="preserve">. </w:t>
      </w:r>
      <w:r w:rsidRPr="00F65C9C">
        <w:rPr>
          <w:rFonts w:asciiTheme="minorHAnsi" w:hAnsiTheme="minorHAnsi" w:cstheme="minorHAnsi"/>
          <w:szCs w:val="24"/>
        </w:rPr>
        <w:t xml:space="preserve"> </w:t>
      </w:r>
    </w:p>
    <w:p w14:paraId="4D105690" w14:textId="77777777" w:rsidR="00934F2E" w:rsidRPr="00F65C9C" w:rsidRDefault="00934F2E" w:rsidP="00934F2E">
      <w:pPr>
        <w:rPr>
          <w:rFonts w:asciiTheme="minorHAnsi" w:hAnsiTheme="minorHAnsi" w:cstheme="minorHAnsi"/>
          <w:szCs w:val="24"/>
        </w:rPr>
      </w:pPr>
    </w:p>
    <w:p w14:paraId="06D5A76F" w14:textId="77777777" w:rsidR="00573C2E" w:rsidRPr="00F65C9C" w:rsidRDefault="00111148" w:rsidP="00081410">
      <w:pPr>
        <w:rPr>
          <w:rFonts w:asciiTheme="minorHAnsi" w:hAnsiTheme="minorHAnsi" w:cstheme="minorHAnsi"/>
          <w:szCs w:val="24"/>
        </w:rPr>
      </w:pPr>
      <w:r w:rsidRPr="00F65C9C">
        <w:rPr>
          <w:rFonts w:asciiTheme="minorHAnsi" w:hAnsiTheme="minorHAnsi" w:cstheme="minorHAnsi"/>
          <w:b/>
          <w:szCs w:val="24"/>
        </w:rPr>
        <w:t>Project Management</w:t>
      </w:r>
      <w:r w:rsidR="009942E3" w:rsidRPr="00F65C9C">
        <w:rPr>
          <w:rFonts w:asciiTheme="minorHAnsi" w:hAnsiTheme="minorHAnsi" w:cstheme="minorHAnsi"/>
          <w:b/>
          <w:szCs w:val="24"/>
        </w:rPr>
        <w:t xml:space="preserve"> - </w:t>
      </w:r>
      <w:r w:rsidR="00052BE3" w:rsidRPr="00F65C9C">
        <w:rPr>
          <w:rFonts w:asciiTheme="minorHAnsi" w:hAnsiTheme="minorHAnsi" w:cstheme="minorHAnsi"/>
          <w:szCs w:val="24"/>
        </w:rPr>
        <w:t>A</w:t>
      </w:r>
      <w:r w:rsidR="00014361" w:rsidRPr="00F65C9C">
        <w:rPr>
          <w:rFonts w:asciiTheme="minorHAnsi" w:hAnsiTheme="minorHAnsi" w:cstheme="minorHAnsi"/>
          <w:szCs w:val="24"/>
        </w:rPr>
        <w:t xml:space="preserve"> work program </w:t>
      </w:r>
      <w:r w:rsidR="00052BE3" w:rsidRPr="00F65C9C">
        <w:rPr>
          <w:rFonts w:asciiTheme="minorHAnsi" w:hAnsiTheme="minorHAnsi" w:cstheme="minorHAnsi"/>
          <w:szCs w:val="24"/>
        </w:rPr>
        <w:t xml:space="preserve">may include </w:t>
      </w:r>
      <w:r w:rsidR="00014361" w:rsidRPr="00F65C9C">
        <w:rPr>
          <w:rFonts w:asciiTheme="minorHAnsi" w:hAnsiTheme="minorHAnsi" w:cstheme="minorHAnsi"/>
          <w:szCs w:val="24"/>
        </w:rPr>
        <w:t>a task called</w:t>
      </w:r>
      <w:r w:rsidRPr="00F65C9C">
        <w:rPr>
          <w:rFonts w:asciiTheme="minorHAnsi" w:hAnsiTheme="minorHAnsi" w:cstheme="minorHAnsi"/>
          <w:szCs w:val="24"/>
        </w:rPr>
        <w:t xml:space="preserve"> “Projec</w:t>
      </w:r>
      <w:r w:rsidR="000E0178" w:rsidRPr="00F65C9C">
        <w:rPr>
          <w:rFonts w:asciiTheme="minorHAnsi" w:hAnsiTheme="minorHAnsi" w:cstheme="minorHAnsi"/>
          <w:szCs w:val="24"/>
        </w:rPr>
        <w:t>t Management</w:t>
      </w:r>
      <w:r w:rsidRPr="00F65C9C">
        <w:rPr>
          <w:rFonts w:asciiTheme="minorHAnsi" w:hAnsiTheme="minorHAnsi" w:cstheme="minorHAnsi"/>
          <w:szCs w:val="24"/>
        </w:rPr>
        <w:t>”</w:t>
      </w:r>
      <w:r w:rsidR="008251E6" w:rsidRPr="00F65C9C">
        <w:rPr>
          <w:rFonts w:asciiTheme="minorHAnsi" w:hAnsiTheme="minorHAnsi" w:cstheme="minorHAnsi"/>
          <w:szCs w:val="24"/>
        </w:rPr>
        <w:t xml:space="preserve"> (please use this term)</w:t>
      </w:r>
      <w:r w:rsidR="00573C2E" w:rsidRPr="00F65C9C">
        <w:rPr>
          <w:rFonts w:asciiTheme="minorHAnsi" w:hAnsiTheme="minorHAnsi" w:cstheme="minorHAnsi"/>
          <w:szCs w:val="24"/>
        </w:rPr>
        <w:t xml:space="preserve">. This task should cover </w:t>
      </w:r>
      <w:r w:rsidR="00573C2E" w:rsidRPr="00F65C9C">
        <w:rPr>
          <w:rFonts w:asciiTheme="minorHAnsi" w:hAnsiTheme="minorHAnsi" w:cstheme="minorHAnsi"/>
          <w:szCs w:val="24"/>
          <w:u w:val="single"/>
        </w:rPr>
        <w:t>labor</w:t>
      </w:r>
      <w:r w:rsidR="00573C2E" w:rsidRPr="00F65C9C">
        <w:rPr>
          <w:rFonts w:asciiTheme="minorHAnsi" w:hAnsiTheme="minorHAnsi" w:cstheme="minorHAnsi"/>
          <w:szCs w:val="24"/>
        </w:rPr>
        <w:t xml:space="preserve"> costs</w:t>
      </w:r>
      <w:r w:rsidR="0039126A" w:rsidRPr="00F65C9C">
        <w:rPr>
          <w:rFonts w:asciiTheme="minorHAnsi" w:hAnsiTheme="minorHAnsi" w:cstheme="minorHAnsi"/>
          <w:szCs w:val="24"/>
        </w:rPr>
        <w:t xml:space="preserve">, not otherwise billed, that are </w:t>
      </w:r>
      <w:r w:rsidR="00573C2E" w:rsidRPr="00F65C9C">
        <w:rPr>
          <w:rFonts w:asciiTheme="minorHAnsi" w:hAnsiTheme="minorHAnsi" w:cstheme="minorHAnsi"/>
          <w:szCs w:val="24"/>
        </w:rPr>
        <w:t xml:space="preserve">associated with administering </w:t>
      </w:r>
      <w:r w:rsidR="007327C1" w:rsidRPr="00F65C9C">
        <w:rPr>
          <w:rFonts w:asciiTheme="minorHAnsi" w:hAnsiTheme="minorHAnsi" w:cstheme="minorHAnsi"/>
          <w:szCs w:val="24"/>
        </w:rPr>
        <w:t xml:space="preserve">a specific </w:t>
      </w:r>
      <w:r w:rsidR="00673CB3" w:rsidRPr="00F65C9C">
        <w:rPr>
          <w:rFonts w:asciiTheme="minorHAnsi" w:hAnsiTheme="minorHAnsi" w:cstheme="minorHAnsi"/>
          <w:szCs w:val="24"/>
        </w:rPr>
        <w:t xml:space="preserve">Conservancy </w:t>
      </w:r>
      <w:r w:rsidR="009D7390" w:rsidRPr="00F65C9C">
        <w:rPr>
          <w:rFonts w:asciiTheme="minorHAnsi" w:hAnsiTheme="minorHAnsi" w:cstheme="minorHAnsi"/>
          <w:szCs w:val="24"/>
        </w:rPr>
        <w:t>grant (</w:t>
      </w:r>
      <w:r w:rsidR="00673CB3" w:rsidRPr="00F65C9C">
        <w:rPr>
          <w:rFonts w:asciiTheme="minorHAnsi" w:hAnsiTheme="minorHAnsi" w:cstheme="minorHAnsi"/>
          <w:szCs w:val="24"/>
        </w:rPr>
        <w:t>for example</w:t>
      </w:r>
      <w:r w:rsidR="009D7390" w:rsidRPr="00F65C9C">
        <w:rPr>
          <w:rFonts w:asciiTheme="minorHAnsi" w:hAnsiTheme="minorHAnsi" w:cstheme="minorHAnsi"/>
          <w:szCs w:val="24"/>
        </w:rPr>
        <w:t xml:space="preserve">, </w:t>
      </w:r>
      <w:r w:rsidR="00573C2E" w:rsidRPr="00F65C9C">
        <w:rPr>
          <w:rFonts w:asciiTheme="minorHAnsi" w:hAnsiTheme="minorHAnsi" w:cstheme="minorHAnsi"/>
          <w:szCs w:val="24"/>
        </w:rPr>
        <w:t>managing contracts</w:t>
      </w:r>
      <w:r w:rsidR="00673CB3" w:rsidRPr="00F65C9C">
        <w:rPr>
          <w:rFonts w:asciiTheme="minorHAnsi" w:hAnsiTheme="minorHAnsi" w:cstheme="minorHAnsi"/>
          <w:szCs w:val="24"/>
        </w:rPr>
        <w:t>,</w:t>
      </w:r>
      <w:r w:rsidR="00573C2E" w:rsidRPr="00F65C9C">
        <w:rPr>
          <w:rFonts w:asciiTheme="minorHAnsi" w:hAnsiTheme="minorHAnsi" w:cstheme="minorHAnsi"/>
          <w:szCs w:val="24"/>
        </w:rPr>
        <w:t xml:space="preserve"> paying consultants</w:t>
      </w:r>
      <w:r w:rsidR="00673CB3" w:rsidRPr="00F65C9C">
        <w:rPr>
          <w:rFonts w:asciiTheme="minorHAnsi" w:hAnsiTheme="minorHAnsi" w:cstheme="minorHAnsi"/>
          <w:szCs w:val="24"/>
        </w:rPr>
        <w:t>,</w:t>
      </w:r>
      <w:r w:rsidR="00573C2E" w:rsidRPr="00F65C9C">
        <w:rPr>
          <w:rFonts w:asciiTheme="minorHAnsi" w:hAnsiTheme="minorHAnsi" w:cstheme="minorHAnsi"/>
          <w:szCs w:val="24"/>
        </w:rPr>
        <w:t xml:space="preserve"> billing SCC</w:t>
      </w:r>
      <w:r w:rsidR="00673CB3" w:rsidRPr="00F65C9C">
        <w:rPr>
          <w:rFonts w:asciiTheme="minorHAnsi" w:hAnsiTheme="minorHAnsi" w:cstheme="minorHAnsi"/>
          <w:szCs w:val="24"/>
        </w:rPr>
        <w:t>,</w:t>
      </w:r>
      <w:r w:rsidR="00573C2E" w:rsidRPr="00F65C9C">
        <w:rPr>
          <w:rFonts w:asciiTheme="minorHAnsi" w:hAnsiTheme="minorHAnsi" w:cstheme="minorHAnsi"/>
          <w:szCs w:val="24"/>
        </w:rPr>
        <w:t xml:space="preserve"> maintaining accounting records</w:t>
      </w:r>
      <w:r w:rsidR="00673CB3" w:rsidRPr="00F65C9C">
        <w:rPr>
          <w:rFonts w:asciiTheme="minorHAnsi" w:hAnsiTheme="minorHAnsi" w:cstheme="minorHAnsi"/>
          <w:szCs w:val="24"/>
        </w:rPr>
        <w:t>,</w:t>
      </w:r>
      <w:r w:rsidR="00573C2E" w:rsidRPr="00F65C9C">
        <w:rPr>
          <w:rFonts w:asciiTheme="minorHAnsi" w:hAnsiTheme="minorHAnsi" w:cstheme="minorHAnsi"/>
          <w:szCs w:val="24"/>
        </w:rPr>
        <w:t xml:space="preserve"> and other time spent on managing the project</w:t>
      </w:r>
      <w:r w:rsidR="009D7390" w:rsidRPr="00F65C9C">
        <w:rPr>
          <w:rFonts w:asciiTheme="minorHAnsi" w:hAnsiTheme="minorHAnsi" w:cstheme="minorHAnsi"/>
          <w:szCs w:val="24"/>
        </w:rPr>
        <w:t>)</w:t>
      </w:r>
      <w:r w:rsidR="00700408" w:rsidRPr="00F65C9C">
        <w:rPr>
          <w:rFonts w:asciiTheme="minorHAnsi" w:hAnsiTheme="minorHAnsi" w:cstheme="minorHAnsi"/>
          <w:szCs w:val="24"/>
        </w:rPr>
        <w:t>.</w:t>
      </w:r>
    </w:p>
    <w:p w14:paraId="4D850DFD" w14:textId="77777777" w:rsidR="00081410" w:rsidRPr="00F65C9C" w:rsidRDefault="00081410" w:rsidP="00081410">
      <w:pPr>
        <w:rPr>
          <w:rFonts w:asciiTheme="minorHAnsi" w:hAnsiTheme="minorHAnsi" w:cstheme="minorHAnsi"/>
          <w:b/>
          <w:szCs w:val="24"/>
        </w:rPr>
      </w:pPr>
    </w:p>
    <w:p w14:paraId="04767363" w14:textId="77777777" w:rsidR="00081410" w:rsidRPr="00F65C9C" w:rsidRDefault="00081410" w:rsidP="00081410">
      <w:pPr>
        <w:rPr>
          <w:rFonts w:asciiTheme="minorHAnsi" w:hAnsiTheme="minorHAnsi" w:cstheme="minorHAnsi"/>
          <w:i/>
          <w:szCs w:val="24"/>
          <w:u w:val="single"/>
        </w:rPr>
      </w:pPr>
      <w:r w:rsidRPr="00F65C9C">
        <w:rPr>
          <w:rFonts w:asciiTheme="minorHAnsi" w:hAnsiTheme="minorHAnsi" w:cstheme="minorHAnsi"/>
          <w:b/>
          <w:i/>
          <w:szCs w:val="24"/>
          <w:u w:val="single"/>
        </w:rPr>
        <w:t>“</w:t>
      </w:r>
      <w:r w:rsidRPr="00F65C9C">
        <w:rPr>
          <w:rFonts w:asciiTheme="minorHAnsi" w:hAnsiTheme="minorHAnsi" w:cstheme="minorHAnsi"/>
          <w:b/>
          <w:bCs/>
          <w:i/>
          <w:szCs w:val="24"/>
          <w:u w:val="single"/>
        </w:rPr>
        <w:t>Overhead” or “Indirect Costs”</w:t>
      </w:r>
      <w:r w:rsidRPr="00F65C9C">
        <w:rPr>
          <w:rFonts w:asciiTheme="minorHAnsi" w:hAnsiTheme="minorHAnsi" w:cstheme="minorHAnsi"/>
          <w:i/>
          <w:szCs w:val="24"/>
          <w:u w:val="single"/>
        </w:rPr>
        <w:t xml:space="preserve"> </w:t>
      </w:r>
    </w:p>
    <w:p w14:paraId="4F355396" w14:textId="3774342F" w:rsidR="00052BE3" w:rsidRPr="00F65C9C" w:rsidRDefault="00081410" w:rsidP="00081410">
      <w:pPr>
        <w:rPr>
          <w:rFonts w:asciiTheme="minorHAnsi" w:hAnsiTheme="minorHAnsi" w:cstheme="minorHAnsi"/>
          <w:szCs w:val="24"/>
        </w:rPr>
      </w:pPr>
      <w:r w:rsidRPr="00F65C9C">
        <w:rPr>
          <w:rFonts w:asciiTheme="minorHAnsi" w:hAnsiTheme="minorHAnsi" w:cstheme="minorHAnsi"/>
          <w:szCs w:val="24"/>
        </w:rPr>
        <w:t xml:space="preserve">Overhead or indirect costs are the non-project </w:t>
      </w:r>
      <w:r w:rsidR="00700408" w:rsidRPr="00F65C9C">
        <w:rPr>
          <w:rFonts w:asciiTheme="minorHAnsi" w:hAnsiTheme="minorHAnsi" w:cstheme="minorHAnsi"/>
          <w:szCs w:val="24"/>
        </w:rPr>
        <w:t xml:space="preserve">specific </w:t>
      </w:r>
      <w:r w:rsidRPr="00F65C9C">
        <w:rPr>
          <w:rFonts w:asciiTheme="minorHAnsi" w:hAnsiTheme="minorHAnsi" w:cstheme="minorHAnsi"/>
          <w:szCs w:val="24"/>
        </w:rPr>
        <w:t>costs of doing business (</w:t>
      </w:r>
      <w:r w:rsidR="00673CB3" w:rsidRPr="00F65C9C">
        <w:rPr>
          <w:rFonts w:asciiTheme="minorHAnsi" w:hAnsiTheme="minorHAnsi" w:cstheme="minorHAnsi"/>
          <w:szCs w:val="24"/>
        </w:rPr>
        <w:t>for example</w:t>
      </w:r>
      <w:r w:rsidRPr="00F65C9C">
        <w:rPr>
          <w:rFonts w:asciiTheme="minorHAnsi" w:hAnsiTheme="minorHAnsi" w:cstheme="minorHAnsi"/>
          <w:szCs w:val="24"/>
        </w:rPr>
        <w:t xml:space="preserve">, rent, computers, telephones, office supplies, internet access, copy machines, electricity). </w:t>
      </w:r>
      <w:r w:rsidR="00673CB3" w:rsidRPr="00F65C9C">
        <w:rPr>
          <w:rFonts w:asciiTheme="minorHAnsi" w:hAnsiTheme="minorHAnsi" w:cstheme="minorHAnsi"/>
          <w:szCs w:val="24"/>
        </w:rPr>
        <w:t xml:space="preserve"> Certain</w:t>
      </w:r>
      <w:r w:rsidR="00A037C9" w:rsidRPr="00F65C9C">
        <w:rPr>
          <w:rFonts w:asciiTheme="minorHAnsi" w:hAnsiTheme="minorHAnsi" w:cstheme="minorHAnsi"/>
          <w:szCs w:val="24"/>
        </w:rPr>
        <w:t xml:space="preserve"> types of indirect costs may NOT be charged to the Conservancy</w:t>
      </w:r>
      <w:r w:rsidR="00052BE3" w:rsidRPr="00F65C9C">
        <w:rPr>
          <w:rFonts w:asciiTheme="minorHAnsi" w:hAnsiTheme="minorHAnsi" w:cstheme="minorHAnsi"/>
          <w:szCs w:val="24"/>
        </w:rPr>
        <w:t xml:space="preserve">, including </w:t>
      </w:r>
      <w:r w:rsidR="00CB245B" w:rsidRPr="00F65C9C">
        <w:rPr>
          <w:rFonts w:asciiTheme="minorHAnsi" w:hAnsiTheme="minorHAnsi" w:cstheme="minorHAnsi"/>
          <w:szCs w:val="24"/>
        </w:rPr>
        <w:t xml:space="preserve">food and beverage, </w:t>
      </w:r>
      <w:r w:rsidR="00052BE3" w:rsidRPr="00F65C9C">
        <w:rPr>
          <w:rFonts w:asciiTheme="minorHAnsi" w:hAnsiTheme="minorHAnsi" w:cstheme="minorHAnsi"/>
          <w:szCs w:val="24"/>
        </w:rPr>
        <w:t>f</w:t>
      </w:r>
      <w:r w:rsidRPr="00F65C9C">
        <w:rPr>
          <w:rFonts w:asciiTheme="minorHAnsi" w:hAnsiTheme="minorHAnsi" w:cstheme="minorHAnsi"/>
          <w:szCs w:val="24"/>
        </w:rPr>
        <w:t xml:space="preserve">undraising, lobbying and entertainment. </w:t>
      </w:r>
      <w:r w:rsidR="00052BE3" w:rsidRPr="00F65C9C">
        <w:rPr>
          <w:rFonts w:asciiTheme="minorHAnsi" w:hAnsiTheme="minorHAnsi" w:cstheme="minorHAnsi"/>
          <w:szCs w:val="24"/>
        </w:rPr>
        <w:t>Any cost that is billed as a direct cost may NOT be included in overhead.</w:t>
      </w:r>
    </w:p>
    <w:p w14:paraId="4BD48B4A" w14:textId="77777777" w:rsidR="00052BE3" w:rsidRPr="00F65C9C" w:rsidRDefault="00052BE3" w:rsidP="00081410">
      <w:pPr>
        <w:rPr>
          <w:rFonts w:asciiTheme="minorHAnsi" w:hAnsiTheme="minorHAnsi" w:cstheme="minorHAnsi"/>
          <w:szCs w:val="24"/>
        </w:rPr>
      </w:pPr>
    </w:p>
    <w:p w14:paraId="33F08201" w14:textId="77777777" w:rsidR="00081410" w:rsidRPr="00F65C9C" w:rsidRDefault="00D5506D" w:rsidP="00081410">
      <w:pPr>
        <w:rPr>
          <w:rFonts w:asciiTheme="minorHAnsi" w:hAnsiTheme="minorHAnsi" w:cstheme="minorHAnsi"/>
          <w:szCs w:val="24"/>
        </w:rPr>
      </w:pPr>
      <w:r w:rsidRPr="00F65C9C">
        <w:rPr>
          <w:rFonts w:asciiTheme="minorHAnsi" w:hAnsiTheme="minorHAnsi" w:cstheme="minorHAnsi"/>
          <w:szCs w:val="24"/>
        </w:rPr>
        <w:lastRenderedPageBreak/>
        <w:t>“O</w:t>
      </w:r>
      <w:r w:rsidR="00081410" w:rsidRPr="00F65C9C">
        <w:rPr>
          <w:rFonts w:asciiTheme="minorHAnsi" w:hAnsiTheme="minorHAnsi" w:cstheme="minorHAnsi"/>
          <w:szCs w:val="24"/>
        </w:rPr>
        <w:t xml:space="preserve">verhead” and “indirect costs” are both acceptable terms </w:t>
      </w:r>
      <w:r w:rsidR="00700408" w:rsidRPr="00F65C9C">
        <w:rPr>
          <w:rFonts w:asciiTheme="minorHAnsi" w:hAnsiTheme="minorHAnsi" w:cstheme="minorHAnsi"/>
          <w:szCs w:val="24"/>
        </w:rPr>
        <w:t>that</w:t>
      </w:r>
      <w:r w:rsidR="00081410" w:rsidRPr="00F65C9C">
        <w:rPr>
          <w:rFonts w:asciiTheme="minorHAnsi" w:hAnsiTheme="minorHAnsi" w:cstheme="minorHAnsi"/>
          <w:szCs w:val="24"/>
        </w:rPr>
        <w:t xml:space="preserve"> represent th</w:t>
      </w:r>
      <w:r w:rsidR="00700408" w:rsidRPr="00F65C9C">
        <w:rPr>
          <w:rFonts w:asciiTheme="minorHAnsi" w:hAnsiTheme="minorHAnsi" w:cstheme="minorHAnsi"/>
          <w:szCs w:val="24"/>
        </w:rPr>
        <w:t xml:space="preserve">e </w:t>
      </w:r>
      <w:r w:rsidR="00081410" w:rsidRPr="00F65C9C">
        <w:rPr>
          <w:rFonts w:asciiTheme="minorHAnsi" w:hAnsiTheme="minorHAnsi" w:cstheme="minorHAnsi"/>
          <w:szCs w:val="24"/>
        </w:rPr>
        <w:t>same category of costs</w:t>
      </w:r>
      <w:r w:rsidR="00052BE3" w:rsidRPr="00F65C9C">
        <w:rPr>
          <w:rFonts w:asciiTheme="minorHAnsi" w:hAnsiTheme="minorHAnsi" w:cstheme="minorHAnsi"/>
          <w:szCs w:val="24"/>
        </w:rPr>
        <w:t>. If a grantee seeks to recover overhead</w:t>
      </w:r>
      <w:r w:rsidR="00A037C9" w:rsidRPr="00F65C9C">
        <w:rPr>
          <w:rFonts w:asciiTheme="minorHAnsi" w:hAnsiTheme="minorHAnsi" w:cstheme="minorHAnsi"/>
          <w:szCs w:val="24"/>
        </w:rPr>
        <w:t xml:space="preserve"> costs from </w:t>
      </w:r>
      <w:r w:rsidR="00673CB3" w:rsidRPr="00F65C9C">
        <w:rPr>
          <w:rFonts w:asciiTheme="minorHAnsi" w:hAnsiTheme="minorHAnsi" w:cstheme="minorHAnsi"/>
          <w:szCs w:val="24"/>
        </w:rPr>
        <w:t xml:space="preserve">a Conservancy </w:t>
      </w:r>
      <w:r w:rsidR="00A037C9" w:rsidRPr="00F65C9C">
        <w:rPr>
          <w:rFonts w:asciiTheme="minorHAnsi" w:hAnsiTheme="minorHAnsi" w:cstheme="minorHAnsi"/>
          <w:szCs w:val="24"/>
        </w:rPr>
        <w:t>grant</w:t>
      </w:r>
      <w:r w:rsidR="00052BE3" w:rsidRPr="00F65C9C">
        <w:rPr>
          <w:rFonts w:asciiTheme="minorHAnsi" w:hAnsiTheme="minorHAnsi" w:cstheme="minorHAnsi"/>
          <w:szCs w:val="24"/>
        </w:rPr>
        <w:t xml:space="preserve">, overhead </w:t>
      </w:r>
      <w:r w:rsidR="00A037C9" w:rsidRPr="00F65C9C">
        <w:rPr>
          <w:rFonts w:asciiTheme="minorHAnsi" w:hAnsiTheme="minorHAnsi" w:cstheme="minorHAnsi"/>
          <w:szCs w:val="24"/>
        </w:rPr>
        <w:t>should</w:t>
      </w:r>
      <w:r w:rsidR="00081410" w:rsidRPr="00F65C9C">
        <w:rPr>
          <w:rFonts w:asciiTheme="minorHAnsi" w:hAnsiTheme="minorHAnsi" w:cstheme="minorHAnsi"/>
          <w:szCs w:val="24"/>
        </w:rPr>
        <w:t xml:space="preserve"> be included as a line item in the</w:t>
      </w:r>
      <w:r w:rsidR="00052BE3" w:rsidRPr="00F65C9C">
        <w:rPr>
          <w:rFonts w:asciiTheme="minorHAnsi" w:hAnsiTheme="minorHAnsi" w:cstheme="minorHAnsi"/>
          <w:szCs w:val="24"/>
        </w:rPr>
        <w:t xml:space="preserve"> approved </w:t>
      </w:r>
      <w:r w:rsidR="00081410" w:rsidRPr="00F65C9C">
        <w:rPr>
          <w:rFonts w:asciiTheme="minorHAnsi" w:hAnsiTheme="minorHAnsi" w:cstheme="minorHAnsi"/>
          <w:szCs w:val="24"/>
        </w:rPr>
        <w:t>project budget.</w:t>
      </w:r>
      <w:r w:rsidRPr="00F65C9C">
        <w:rPr>
          <w:rFonts w:asciiTheme="minorHAnsi" w:hAnsiTheme="minorHAnsi" w:cstheme="minorHAnsi"/>
          <w:szCs w:val="24"/>
        </w:rPr>
        <w:t xml:space="preserve"> </w:t>
      </w:r>
    </w:p>
    <w:p w14:paraId="2CB83E53" w14:textId="77777777" w:rsidR="00081410" w:rsidRPr="00F65C9C" w:rsidRDefault="00081410" w:rsidP="00081410">
      <w:pPr>
        <w:ind w:left="360"/>
        <w:rPr>
          <w:rFonts w:asciiTheme="minorHAnsi" w:hAnsiTheme="minorHAnsi" w:cstheme="minorHAnsi"/>
          <w:szCs w:val="24"/>
        </w:rPr>
      </w:pPr>
    </w:p>
    <w:p w14:paraId="333BC773" w14:textId="77777777" w:rsidR="00DE0CA8" w:rsidRPr="00F65C9C" w:rsidRDefault="00AD5CE5" w:rsidP="00081410">
      <w:pPr>
        <w:rPr>
          <w:rFonts w:asciiTheme="minorHAnsi" w:hAnsiTheme="minorHAnsi" w:cstheme="minorHAnsi"/>
          <w:b/>
          <w:szCs w:val="24"/>
        </w:rPr>
      </w:pPr>
      <w:r w:rsidRPr="00F65C9C">
        <w:rPr>
          <w:rFonts w:asciiTheme="minorHAnsi" w:hAnsiTheme="minorHAnsi" w:cstheme="minorHAnsi"/>
          <w:b/>
          <w:szCs w:val="24"/>
        </w:rPr>
        <w:t xml:space="preserve">The Conservancy limits overhead </w:t>
      </w:r>
      <w:r w:rsidR="00631B24" w:rsidRPr="00F65C9C">
        <w:rPr>
          <w:rFonts w:asciiTheme="minorHAnsi" w:hAnsiTheme="minorHAnsi" w:cstheme="minorHAnsi"/>
          <w:b/>
          <w:szCs w:val="24"/>
        </w:rPr>
        <w:t xml:space="preserve">recovery </w:t>
      </w:r>
      <w:r w:rsidRPr="00F65C9C">
        <w:rPr>
          <w:rFonts w:asciiTheme="minorHAnsi" w:hAnsiTheme="minorHAnsi" w:cstheme="minorHAnsi"/>
          <w:b/>
          <w:szCs w:val="24"/>
        </w:rPr>
        <w:t>to a maximum of 15</w:t>
      </w:r>
      <w:r w:rsidR="0047427D" w:rsidRPr="00F65C9C">
        <w:rPr>
          <w:rFonts w:asciiTheme="minorHAnsi" w:hAnsiTheme="minorHAnsi" w:cstheme="minorHAnsi"/>
          <w:b/>
          <w:szCs w:val="24"/>
        </w:rPr>
        <w:t xml:space="preserve">% </w:t>
      </w:r>
      <w:r w:rsidR="00F76816" w:rsidRPr="00F65C9C">
        <w:rPr>
          <w:rFonts w:asciiTheme="minorHAnsi" w:hAnsiTheme="minorHAnsi" w:cstheme="minorHAnsi"/>
          <w:b/>
          <w:szCs w:val="24"/>
        </w:rPr>
        <w:t xml:space="preserve">of </w:t>
      </w:r>
      <w:r w:rsidR="0047427D" w:rsidRPr="00F65C9C">
        <w:rPr>
          <w:rFonts w:asciiTheme="minorHAnsi" w:hAnsiTheme="minorHAnsi" w:cstheme="minorHAnsi"/>
          <w:b/>
          <w:szCs w:val="24"/>
        </w:rPr>
        <w:t>a grant</w:t>
      </w:r>
      <w:r w:rsidRPr="00F65C9C">
        <w:rPr>
          <w:rFonts w:asciiTheme="minorHAnsi" w:hAnsiTheme="minorHAnsi" w:cstheme="minorHAnsi"/>
          <w:b/>
          <w:szCs w:val="24"/>
        </w:rPr>
        <w:t xml:space="preserve">.  </w:t>
      </w:r>
    </w:p>
    <w:p w14:paraId="175F63B1" w14:textId="77777777" w:rsidR="00DE0CA8" w:rsidRPr="00F65C9C" w:rsidRDefault="00DE0CA8" w:rsidP="00081410">
      <w:pPr>
        <w:rPr>
          <w:rFonts w:asciiTheme="minorHAnsi" w:hAnsiTheme="minorHAnsi" w:cstheme="minorHAnsi"/>
          <w:szCs w:val="24"/>
        </w:rPr>
      </w:pPr>
    </w:p>
    <w:p w14:paraId="6E5114AA" w14:textId="77777777" w:rsidR="00434E34" w:rsidRPr="00F65C9C" w:rsidRDefault="00640642" w:rsidP="00081410">
      <w:pPr>
        <w:rPr>
          <w:rFonts w:asciiTheme="minorHAnsi" w:hAnsiTheme="minorHAnsi" w:cstheme="minorHAnsi"/>
          <w:szCs w:val="24"/>
        </w:rPr>
      </w:pPr>
      <w:r w:rsidRPr="00F65C9C">
        <w:rPr>
          <w:rFonts w:asciiTheme="minorHAnsi" w:hAnsiTheme="minorHAnsi" w:cstheme="minorHAnsi"/>
          <w:szCs w:val="24"/>
        </w:rPr>
        <w:t>Grantees that wish to charge overhead to a Conservancy grant must be able to document the appropriateness of these charges.  One typical method for documentation is to have a Cost Allocation Plan for their organization. Other methods may be adequate, but it is the grantee’s responsibility to determine this based on the guidelines of GAAP. It is recommended that grantees work with a CPA to develop an appropriate method for calculating their overhead rate</w:t>
      </w:r>
      <w:r w:rsidR="00631B24" w:rsidRPr="00F65C9C">
        <w:rPr>
          <w:rFonts w:asciiTheme="minorHAnsi" w:hAnsiTheme="minorHAnsi" w:cstheme="minorHAnsi"/>
          <w:szCs w:val="24"/>
        </w:rPr>
        <w:t xml:space="preserve"> and determining what overhead costs may be</w:t>
      </w:r>
      <w:r w:rsidR="00E1102A" w:rsidRPr="00F65C9C">
        <w:rPr>
          <w:rFonts w:asciiTheme="minorHAnsi" w:hAnsiTheme="minorHAnsi" w:cstheme="minorHAnsi"/>
          <w:szCs w:val="24"/>
        </w:rPr>
        <w:t xml:space="preserve"> allocated to </w:t>
      </w:r>
      <w:r w:rsidR="00631B24" w:rsidRPr="00F65C9C">
        <w:rPr>
          <w:rFonts w:asciiTheme="minorHAnsi" w:hAnsiTheme="minorHAnsi" w:cstheme="minorHAnsi"/>
          <w:szCs w:val="24"/>
        </w:rPr>
        <w:t>a grant</w:t>
      </w:r>
      <w:r w:rsidRPr="00F65C9C">
        <w:rPr>
          <w:rFonts w:asciiTheme="minorHAnsi" w:hAnsiTheme="minorHAnsi" w:cstheme="minorHAnsi"/>
          <w:szCs w:val="24"/>
        </w:rPr>
        <w:t>. It is the responsibility of the grantee to maintain appropriate records for all overhead costs</w:t>
      </w:r>
      <w:r w:rsidR="00992D66" w:rsidRPr="00F65C9C">
        <w:rPr>
          <w:rFonts w:asciiTheme="minorHAnsi" w:hAnsiTheme="minorHAnsi" w:cstheme="minorHAnsi"/>
          <w:szCs w:val="24"/>
        </w:rPr>
        <w:t xml:space="preserve">, and to be able to provide those records </w:t>
      </w:r>
      <w:r w:rsidR="00634A3E" w:rsidRPr="00F65C9C">
        <w:rPr>
          <w:rFonts w:asciiTheme="minorHAnsi" w:hAnsiTheme="minorHAnsi" w:cstheme="minorHAnsi"/>
          <w:szCs w:val="24"/>
        </w:rPr>
        <w:t>in the event of an audit</w:t>
      </w:r>
      <w:r w:rsidR="00992D66" w:rsidRPr="00F65C9C">
        <w:rPr>
          <w:rFonts w:asciiTheme="minorHAnsi" w:hAnsiTheme="minorHAnsi" w:cstheme="minorHAnsi"/>
          <w:szCs w:val="24"/>
        </w:rPr>
        <w:t xml:space="preserve">. </w:t>
      </w:r>
    </w:p>
    <w:p w14:paraId="1717F6A1" w14:textId="77777777" w:rsidR="00434E34" w:rsidRPr="00F65C9C" w:rsidRDefault="00434E34" w:rsidP="00081410">
      <w:pPr>
        <w:rPr>
          <w:rFonts w:asciiTheme="minorHAnsi" w:hAnsiTheme="minorHAnsi" w:cstheme="minorHAnsi"/>
          <w:szCs w:val="24"/>
        </w:rPr>
      </w:pPr>
    </w:p>
    <w:p w14:paraId="418039C5" w14:textId="67858418" w:rsidR="008A55DB" w:rsidRPr="00F65C9C" w:rsidRDefault="00434E34" w:rsidP="00081410">
      <w:pPr>
        <w:rPr>
          <w:rFonts w:asciiTheme="minorHAnsi" w:hAnsiTheme="minorHAnsi" w:cstheme="minorHAnsi"/>
          <w:szCs w:val="24"/>
        </w:rPr>
      </w:pPr>
      <w:bookmarkStart w:id="0" w:name="_Hlk6309073"/>
      <w:r w:rsidRPr="00F65C9C">
        <w:rPr>
          <w:rFonts w:asciiTheme="minorHAnsi" w:hAnsiTheme="minorHAnsi" w:cstheme="minorHAnsi"/>
          <w:szCs w:val="24"/>
        </w:rPr>
        <w:t>If (and only if) the Conservancy is passing through federal grant funds to a grantee that has an approved Federal Indirect Cost Rate, the Conservancy will pay that rate with the federal funds. Grantees should provide a copy of the approved Federal Indirect Cost Rate with the work program.</w:t>
      </w:r>
      <w:bookmarkEnd w:id="0"/>
      <w:r w:rsidR="00631B24" w:rsidRPr="00F65C9C">
        <w:rPr>
          <w:rFonts w:asciiTheme="minorHAnsi" w:hAnsiTheme="minorHAnsi" w:cstheme="minorHAnsi"/>
          <w:szCs w:val="24"/>
        </w:rPr>
        <w:br/>
      </w:r>
    </w:p>
    <w:p w14:paraId="6F350471" w14:textId="77777777" w:rsidR="00081410" w:rsidRPr="00F65C9C" w:rsidRDefault="00D5506D" w:rsidP="00081410">
      <w:pPr>
        <w:rPr>
          <w:rFonts w:asciiTheme="minorHAnsi" w:hAnsiTheme="minorHAnsi" w:cstheme="minorHAnsi"/>
          <w:b/>
          <w:i/>
          <w:szCs w:val="24"/>
          <w:u w:val="single"/>
        </w:rPr>
      </w:pPr>
      <w:r w:rsidRPr="00F65C9C">
        <w:rPr>
          <w:rFonts w:asciiTheme="minorHAnsi" w:hAnsiTheme="minorHAnsi" w:cstheme="minorHAnsi"/>
          <w:b/>
          <w:i/>
          <w:szCs w:val="24"/>
          <w:u w:val="single"/>
        </w:rPr>
        <w:t xml:space="preserve">Other </w:t>
      </w:r>
      <w:r w:rsidR="00081410" w:rsidRPr="00F65C9C">
        <w:rPr>
          <w:rFonts w:asciiTheme="minorHAnsi" w:hAnsiTheme="minorHAnsi" w:cstheme="minorHAnsi"/>
          <w:b/>
          <w:i/>
          <w:szCs w:val="24"/>
          <w:u w:val="single"/>
        </w:rPr>
        <w:t>Direct Costs</w:t>
      </w:r>
    </w:p>
    <w:p w14:paraId="5FF866FF" w14:textId="77777777" w:rsidR="00D5506D" w:rsidRPr="00F65C9C" w:rsidRDefault="00640642" w:rsidP="00081410">
      <w:pPr>
        <w:rPr>
          <w:rFonts w:asciiTheme="minorHAnsi" w:hAnsiTheme="minorHAnsi" w:cstheme="minorHAnsi"/>
          <w:szCs w:val="24"/>
        </w:rPr>
      </w:pPr>
      <w:r w:rsidRPr="00F65C9C">
        <w:rPr>
          <w:rFonts w:asciiTheme="minorHAnsi" w:hAnsiTheme="minorHAnsi" w:cstheme="minorHAnsi"/>
          <w:szCs w:val="24"/>
        </w:rPr>
        <w:t>D</w:t>
      </w:r>
      <w:r w:rsidR="00D5506D" w:rsidRPr="00F65C9C">
        <w:rPr>
          <w:rFonts w:asciiTheme="minorHAnsi" w:hAnsiTheme="minorHAnsi" w:cstheme="minorHAnsi"/>
          <w:szCs w:val="24"/>
        </w:rPr>
        <w:t xml:space="preserve">irect costs should be billed at cost. </w:t>
      </w:r>
    </w:p>
    <w:p w14:paraId="57943FE5" w14:textId="77777777" w:rsidR="00D63A56" w:rsidRPr="00F65C9C" w:rsidRDefault="00D63A56" w:rsidP="00081410">
      <w:pPr>
        <w:rPr>
          <w:rFonts w:asciiTheme="minorHAnsi" w:hAnsiTheme="minorHAnsi" w:cstheme="minorHAnsi"/>
          <w:b/>
          <w:szCs w:val="24"/>
        </w:rPr>
      </w:pPr>
    </w:p>
    <w:p w14:paraId="5ED2461F" w14:textId="663E3A5E" w:rsidR="00A1179C" w:rsidRPr="00F65C9C" w:rsidRDefault="00111148" w:rsidP="00B017E7">
      <w:pPr>
        <w:rPr>
          <w:rFonts w:asciiTheme="minorHAnsi" w:hAnsiTheme="minorHAnsi" w:cstheme="minorHAnsi"/>
        </w:rPr>
      </w:pPr>
      <w:r w:rsidRPr="00F65C9C">
        <w:rPr>
          <w:rFonts w:asciiTheme="minorHAnsi" w:hAnsiTheme="minorHAnsi" w:cstheme="minorHAnsi"/>
          <w:b/>
          <w:szCs w:val="24"/>
        </w:rPr>
        <w:t xml:space="preserve">Project </w:t>
      </w:r>
      <w:r w:rsidR="00081410" w:rsidRPr="00F65C9C">
        <w:rPr>
          <w:rFonts w:asciiTheme="minorHAnsi" w:hAnsiTheme="minorHAnsi" w:cstheme="minorHAnsi"/>
          <w:b/>
          <w:szCs w:val="24"/>
        </w:rPr>
        <w:t xml:space="preserve">Supplies and </w:t>
      </w:r>
      <w:r w:rsidRPr="00F65C9C">
        <w:rPr>
          <w:rFonts w:asciiTheme="minorHAnsi" w:hAnsiTheme="minorHAnsi" w:cstheme="minorHAnsi"/>
          <w:b/>
          <w:szCs w:val="24"/>
        </w:rPr>
        <w:t>Services</w:t>
      </w:r>
      <w:r w:rsidR="00700408" w:rsidRPr="00F65C9C">
        <w:rPr>
          <w:rFonts w:asciiTheme="minorHAnsi" w:hAnsiTheme="minorHAnsi" w:cstheme="minorHAnsi"/>
          <w:b/>
          <w:szCs w:val="24"/>
        </w:rPr>
        <w:t xml:space="preserve"> - </w:t>
      </w:r>
      <w:r w:rsidR="00573C2E" w:rsidRPr="00F65C9C">
        <w:rPr>
          <w:rFonts w:asciiTheme="minorHAnsi" w:hAnsiTheme="minorHAnsi" w:cstheme="minorHAnsi"/>
          <w:szCs w:val="24"/>
        </w:rPr>
        <w:t>P</w:t>
      </w:r>
      <w:r w:rsidRPr="00F65C9C">
        <w:rPr>
          <w:rFonts w:asciiTheme="minorHAnsi" w:hAnsiTheme="minorHAnsi" w:cstheme="minorHAnsi"/>
          <w:szCs w:val="24"/>
        </w:rPr>
        <w:t xml:space="preserve">roject-specific supplies </w:t>
      </w:r>
      <w:r w:rsidR="00E710CE" w:rsidRPr="00F65C9C">
        <w:rPr>
          <w:rFonts w:asciiTheme="minorHAnsi" w:hAnsiTheme="minorHAnsi" w:cstheme="minorHAnsi"/>
          <w:szCs w:val="24"/>
        </w:rPr>
        <w:t>and services (</w:t>
      </w:r>
      <w:r w:rsidR="0010252E" w:rsidRPr="00F65C9C">
        <w:rPr>
          <w:rFonts w:asciiTheme="minorHAnsi" w:hAnsiTheme="minorHAnsi" w:cstheme="minorHAnsi"/>
          <w:szCs w:val="24"/>
        </w:rPr>
        <w:t>for example</w:t>
      </w:r>
      <w:r w:rsidR="00237FC8" w:rsidRPr="00F65C9C">
        <w:rPr>
          <w:rFonts w:asciiTheme="minorHAnsi" w:hAnsiTheme="minorHAnsi" w:cstheme="minorHAnsi"/>
          <w:szCs w:val="24"/>
        </w:rPr>
        <w:t>,</w:t>
      </w:r>
      <w:r w:rsidR="00573C2E" w:rsidRPr="00F65C9C">
        <w:rPr>
          <w:rFonts w:asciiTheme="minorHAnsi" w:hAnsiTheme="minorHAnsi" w:cstheme="minorHAnsi"/>
          <w:szCs w:val="24"/>
        </w:rPr>
        <w:t xml:space="preserve"> printing, </w:t>
      </w:r>
      <w:r w:rsidRPr="00F65C9C">
        <w:rPr>
          <w:rFonts w:asciiTheme="minorHAnsi" w:hAnsiTheme="minorHAnsi" w:cstheme="minorHAnsi"/>
          <w:szCs w:val="24"/>
        </w:rPr>
        <w:t xml:space="preserve">copying, long-distance calls, publications, maps, </w:t>
      </w:r>
      <w:r w:rsidR="00F40EA9" w:rsidRPr="00F65C9C">
        <w:rPr>
          <w:rFonts w:asciiTheme="minorHAnsi" w:hAnsiTheme="minorHAnsi" w:cstheme="minorHAnsi"/>
          <w:szCs w:val="24"/>
        </w:rPr>
        <w:t>technical surveys, pre-fabricated bridge structures, bicycle racks, benches</w:t>
      </w:r>
      <w:r w:rsidR="00E710CE" w:rsidRPr="00F65C9C">
        <w:rPr>
          <w:rFonts w:asciiTheme="minorHAnsi" w:hAnsiTheme="minorHAnsi" w:cstheme="minorHAnsi"/>
          <w:szCs w:val="24"/>
        </w:rPr>
        <w:t>)</w:t>
      </w:r>
      <w:r w:rsidR="00573C2E" w:rsidRPr="00F65C9C">
        <w:rPr>
          <w:rFonts w:asciiTheme="minorHAnsi" w:hAnsiTheme="minorHAnsi" w:cstheme="minorHAnsi"/>
          <w:szCs w:val="24"/>
        </w:rPr>
        <w:t xml:space="preserve"> </w:t>
      </w:r>
      <w:r w:rsidR="00D5506D" w:rsidRPr="00F65C9C">
        <w:rPr>
          <w:rFonts w:asciiTheme="minorHAnsi" w:hAnsiTheme="minorHAnsi" w:cstheme="minorHAnsi"/>
          <w:szCs w:val="24"/>
        </w:rPr>
        <w:t>may be billed to the grant if these costs a</w:t>
      </w:r>
      <w:r w:rsidR="0010252E" w:rsidRPr="00F65C9C">
        <w:rPr>
          <w:rFonts w:asciiTheme="minorHAnsi" w:hAnsiTheme="minorHAnsi" w:cstheme="minorHAnsi"/>
          <w:szCs w:val="24"/>
        </w:rPr>
        <w:t>ppear</w:t>
      </w:r>
      <w:r w:rsidR="00D5506D" w:rsidRPr="00F65C9C">
        <w:rPr>
          <w:rFonts w:asciiTheme="minorHAnsi" w:hAnsiTheme="minorHAnsi" w:cstheme="minorHAnsi"/>
          <w:szCs w:val="24"/>
        </w:rPr>
        <w:t xml:space="preserve"> in the </w:t>
      </w:r>
      <w:r w:rsidR="00052BE3" w:rsidRPr="00F65C9C">
        <w:rPr>
          <w:rFonts w:asciiTheme="minorHAnsi" w:hAnsiTheme="minorHAnsi" w:cstheme="minorHAnsi"/>
          <w:szCs w:val="24"/>
        </w:rPr>
        <w:t xml:space="preserve">approved </w:t>
      </w:r>
      <w:r w:rsidR="00FC3609" w:rsidRPr="00F65C9C">
        <w:rPr>
          <w:rFonts w:asciiTheme="minorHAnsi" w:hAnsiTheme="minorHAnsi" w:cstheme="minorHAnsi"/>
          <w:szCs w:val="24"/>
        </w:rPr>
        <w:t>work plan</w:t>
      </w:r>
      <w:r w:rsidR="00052BE3" w:rsidRPr="00F65C9C">
        <w:rPr>
          <w:rFonts w:asciiTheme="minorHAnsi" w:hAnsiTheme="minorHAnsi" w:cstheme="minorHAnsi"/>
          <w:szCs w:val="24"/>
        </w:rPr>
        <w:t xml:space="preserve"> </w:t>
      </w:r>
      <w:r w:rsidR="00D5506D" w:rsidRPr="00F65C9C">
        <w:rPr>
          <w:rFonts w:asciiTheme="minorHAnsi" w:hAnsiTheme="minorHAnsi" w:cstheme="minorHAnsi"/>
          <w:szCs w:val="24"/>
        </w:rPr>
        <w:t>and budget.</w:t>
      </w:r>
      <w:r w:rsidR="00047F5F" w:rsidRPr="00F65C9C">
        <w:rPr>
          <w:rFonts w:asciiTheme="minorHAnsi" w:hAnsiTheme="minorHAnsi" w:cstheme="minorHAnsi"/>
          <w:szCs w:val="24"/>
        </w:rPr>
        <w:t xml:space="preserve"> </w:t>
      </w:r>
      <w:r w:rsidR="00640642" w:rsidRPr="00F65C9C">
        <w:rPr>
          <w:rFonts w:asciiTheme="minorHAnsi" w:hAnsiTheme="minorHAnsi" w:cstheme="minorHAnsi"/>
          <w:szCs w:val="24"/>
        </w:rPr>
        <w:t>R</w:t>
      </w:r>
      <w:r w:rsidR="00573C2E" w:rsidRPr="00F65C9C">
        <w:rPr>
          <w:rFonts w:asciiTheme="minorHAnsi" w:hAnsiTheme="minorHAnsi" w:cstheme="minorHAnsi"/>
          <w:szCs w:val="24"/>
        </w:rPr>
        <w:t xml:space="preserve">eceipts </w:t>
      </w:r>
      <w:r w:rsidR="00C565CA" w:rsidRPr="00F65C9C">
        <w:rPr>
          <w:rFonts w:asciiTheme="minorHAnsi" w:hAnsiTheme="minorHAnsi" w:cstheme="minorHAnsi"/>
          <w:szCs w:val="24"/>
        </w:rPr>
        <w:t xml:space="preserve">(original or scanned) </w:t>
      </w:r>
      <w:r w:rsidR="00573C2E" w:rsidRPr="00F65C9C">
        <w:rPr>
          <w:rFonts w:asciiTheme="minorHAnsi" w:hAnsiTheme="minorHAnsi" w:cstheme="minorHAnsi"/>
          <w:szCs w:val="24"/>
        </w:rPr>
        <w:t>or other documentation will be required</w:t>
      </w:r>
      <w:r w:rsidR="00C565CA" w:rsidRPr="00F65C9C">
        <w:rPr>
          <w:rFonts w:asciiTheme="minorHAnsi" w:hAnsiTheme="minorHAnsi" w:cstheme="minorHAnsi"/>
          <w:szCs w:val="24"/>
        </w:rPr>
        <w:t>.</w:t>
      </w:r>
      <w:r w:rsidR="00E61A59" w:rsidRPr="00F65C9C">
        <w:rPr>
          <w:rFonts w:asciiTheme="minorHAnsi" w:hAnsiTheme="minorHAnsi" w:cstheme="minorHAnsi"/>
          <w:szCs w:val="24"/>
        </w:rPr>
        <w:t xml:space="preserve"> </w:t>
      </w:r>
      <w:bookmarkStart w:id="1" w:name="_Hlk6309131"/>
      <w:r w:rsidR="00E61A59" w:rsidRPr="00F65C9C">
        <w:rPr>
          <w:rFonts w:asciiTheme="minorHAnsi" w:hAnsiTheme="minorHAnsi" w:cstheme="minorHAnsi"/>
          <w:szCs w:val="24"/>
        </w:rPr>
        <w:t xml:space="preserve">Generally, </w:t>
      </w:r>
      <w:r w:rsidR="00E61A59" w:rsidRPr="00F65C9C">
        <w:rPr>
          <w:rFonts w:asciiTheme="minorHAnsi" w:hAnsiTheme="minorHAnsi" w:cstheme="minorHAnsi"/>
        </w:rPr>
        <w:t>Conservancy funds may not be used to purchase equipment, such as furniture, computers, phones, etc</w:t>
      </w:r>
      <w:r w:rsidR="00A1179C" w:rsidRPr="00F65C9C">
        <w:rPr>
          <w:rFonts w:asciiTheme="minorHAnsi" w:hAnsiTheme="minorHAnsi" w:cstheme="minorHAnsi"/>
        </w:rPr>
        <w:t xml:space="preserve">.  If a piece of equipment is directly related to carrying out a grant’s purposes, it may be purchased as a grant expense. </w:t>
      </w:r>
      <w:r w:rsidR="00A1179C" w:rsidRPr="00F65C9C">
        <w:rPr>
          <w:rFonts w:asciiTheme="minorHAnsi" w:hAnsiTheme="minorHAnsi" w:cstheme="minorHAnsi"/>
          <w:b/>
          <w:i/>
        </w:rPr>
        <w:t>Check with your Conservancy project manager before you purchase</w:t>
      </w:r>
      <w:r w:rsidR="00A1179C" w:rsidRPr="00F65C9C">
        <w:rPr>
          <w:rFonts w:asciiTheme="minorHAnsi" w:hAnsiTheme="minorHAnsi" w:cstheme="minorHAnsi"/>
          <w:b/>
        </w:rPr>
        <w:t xml:space="preserve"> </w:t>
      </w:r>
      <w:r w:rsidR="00A1179C" w:rsidRPr="00F65C9C">
        <w:rPr>
          <w:rFonts w:asciiTheme="minorHAnsi" w:hAnsiTheme="minorHAnsi" w:cstheme="minorHAnsi"/>
        </w:rPr>
        <w:t xml:space="preserve">any equipment to ensure that it is appropriate under the grant agreement.  </w:t>
      </w:r>
    </w:p>
    <w:bookmarkEnd w:id="1"/>
    <w:p w14:paraId="315307E6" w14:textId="276F6A69" w:rsidR="00573C2E" w:rsidRPr="00F65C9C" w:rsidRDefault="00573C2E" w:rsidP="00B017E7">
      <w:pPr>
        <w:rPr>
          <w:rFonts w:asciiTheme="minorHAnsi" w:hAnsiTheme="minorHAnsi" w:cstheme="minorHAnsi"/>
          <w:szCs w:val="24"/>
        </w:rPr>
      </w:pPr>
    </w:p>
    <w:p w14:paraId="05E3CE67" w14:textId="214F6769" w:rsidR="004648E7" w:rsidRPr="00F65C9C" w:rsidRDefault="004648E7" w:rsidP="004648E7">
      <w:pPr>
        <w:rPr>
          <w:rFonts w:asciiTheme="minorHAnsi" w:hAnsiTheme="minorHAnsi" w:cstheme="minorHAnsi"/>
          <w:b/>
          <w:szCs w:val="24"/>
        </w:rPr>
      </w:pPr>
      <w:bookmarkStart w:id="2" w:name="_Hlk6309102"/>
      <w:r w:rsidRPr="00F65C9C">
        <w:rPr>
          <w:rFonts w:asciiTheme="minorHAnsi" w:hAnsiTheme="minorHAnsi" w:cstheme="minorHAnsi"/>
          <w:b/>
          <w:szCs w:val="24"/>
        </w:rPr>
        <w:t>Personal Equipment</w:t>
      </w:r>
    </w:p>
    <w:p w14:paraId="0F71F1A1" w14:textId="77777777" w:rsidR="004648E7" w:rsidRPr="00F65C9C" w:rsidRDefault="004648E7" w:rsidP="004648E7">
      <w:pPr>
        <w:rPr>
          <w:rFonts w:asciiTheme="minorHAnsi" w:hAnsiTheme="minorHAnsi" w:cstheme="minorHAnsi"/>
          <w:szCs w:val="24"/>
        </w:rPr>
      </w:pPr>
      <w:r w:rsidRPr="00F65C9C">
        <w:rPr>
          <w:rFonts w:asciiTheme="minorHAnsi" w:hAnsiTheme="minorHAnsi" w:cstheme="minorHAnsi"/>
          <w:szCs w:val="24"/>
        </w:rPr>
        <w:t xml:space="preserve">Personal equipment such as rubber boots and sunscreen may be approved as part of the work program. If the supplies outlast the grant term, the grantee shall commit to using the supplies to support project purposes for the useful life of the supplies. </w:t>
      </w:r>
    </w:p>
    <w:p w14:paraId="457DCB0F" w14:textId="77777777" w:rsidR="004648E7" w:rsidRPr="00F65C9C" w:rsidRDefault="004648E7" w:rsidP="00B017E7">
      <w:pPr>
        <w:rPr>
          <w:rFonts w:asciiTheme="minorHAnsi" w:hAnsiTheme="minorHAnsi" w:cstheme="minorHAnsi"/>
          <w:szCs w:val="24"/>
        </w:rPr>
      </w:pPr>
    </w:p>
    <w:p w14:paraId="1B85B6B0" w14:textId="77777777" w:rsidR="004648E7" w:rsidRPr="00F65C9C" w:rsidRDefault="004648E7" w:rsidP="004648E7">
      <w:pPr>
        <w:rPr>
          <w:rFonts w:asciiTheme="minorHAnsi" w:hAnsiTheme="minorHAnsi" w:cstheme="minorHAnsi"/>
          <w:b/>
          <w:szCs w:val="24"/>
        </w:rPr>
      </w:pPr>
      <w:r w:rsidRPr="00F65C9C">
        <w:rPr>
          <w:rFonts w:asciiTheme="minorHAnsi" w:hAnsiTheme="minorHAnsi" w:cstheme="minorHAnsi"/>
          <w:b/>
          <w:szCs w:val="24"/>
        </w:rPr>
        <w:t>Paying for Food</w:t>
      </w:r>
    </w:p>
    <w:p w14:paraId="73BE3575" w14:textId="59BAB4C3" w:rsidR="004648E7" w:rsidRPr="00F65C9C" w:rsidRDefault="004648E7" w:rsidP="004648E7">
      <w:pPr>
        <w:rPr>
          <w:rFonts w:asciiTheme="minorHAnsi" w:hAnsiTheme="minorHAnsi" w:cstheme="minorHAnsi"/>
          <w:szCs w:val="24"/>
        </w:rPr>
      </w:pPr>
      <w:r w:rsidRPr="00F65C9C">
        <w:rPr>
          <w:rFonts w:asciiTheme="minorHAnsi" w:hAnsiTheme="minorHAnsi" w:cstheme="minorHAnsi"/>
          <w:szCs w:val="24"/>
        </w:rPr>
        <w:t xml:space="preserve">If a grant is funded with bond funds, the Conservancy will not pay for food other than approved travel expenses (see below).  If a grant is </w:t>
      </w:r>
      <w:r w:rsidRPr="00F65C9C">
        <w:rPr>
          <w:rFonts w:asciiTheme="minorHAnsi" w:hAnsiTheme="minorHAnsi" w:cstheme="minorHAnsi"/>
          <w:i/>
          <w:szCs w:val="24"/>
        </w:rPr>
        <w:t>not bond-funded</w:t>
      </w:r>
      <w:r w:rsidRPr="00F65C9C">
        <w:rPr>
          <w:rFonts w:asciiTheme="minorHAnsi" w:hAnsiTheme="minorHAnsi" w:cstheme="minorHAnsi"/>
          <w:szCs w:val="24"/>
        </w:rPr>
        <w:t xml:space="preserve"> and food </w:t>
      </w:r>
      <w:r w:rsidRPr="00F65C9C">
        <w:rPr>
          <w:rFonts w:asciiTheme="minorHAnsi" w:hAnsiTheme="minorHAnsi" w:cstheme="minorHAnsi"/>
          <w:i/>
          <w:szCs w:val="24"/>
        </w:rPr>
        <w:t>is essential</w:t>
      </w:r>
      <w:r w:rsidRPr="00F65C9C">
        <w:rPr>
          <w:rFonts w:asciiTheme="minorHAnsi" w:hAnsiTheme="minorHAnsi" w:cstheme="minorHAnsi"/>
          <w:szCs w:val="24"/>
        </w:rPr>
        <w:t xml:space="preserve"> to the success of the project, it is an allowable direct expense.  Examples of projects where it would be appropriate to approve food purchase would include an Explore the Coast grant where the project takes children on an </w:t>
      </w:r>
      <w:proofErr w:type="spellStart"/>
      <w:proofErr w:type="gramStart"/>
      <w:r w:rsidRPr="00F65C9C">
        <w:rPr>
          <w:rFonts w:asciiTheme="minorHAnsi" w:hAnsiTheme="minorHAnsi" w:cstheme="minorHAnsi"/>
          <w:szCs w:val="24"/>
        </w:rPr>
        <w:t>all day</w:t>
      </w:r>
      <w:proofErr w:type="spellEnd"/>
      <w:proofErr w:type="gramEnd"/>
      <w:r w:rsidRPr="00F65C9C">
        <w:rPr>
          <w:rFonts w:asciiTheme="minorHAnsi" w:hAnsiTheme="minorHAnsi" w:cstheme="minorHAnsi"/>
          <w:szCs w:val="24"/>
        </w:rPr>
        <w:t xml:space="preserve"> field trip and provides the participants with lunch</w:t>
      </w:r>
      <w:r w:rsidR="00D234F6" w:rsidRPr="00F65C9C">
        <w:rPr>
          <w:rFonts w:asciiTheme="minorHAnsi" w:hAnsiTheme="minorHAnsi" w:cstheme="minorHAnsi"/>
          <w:szCs w:val="24"/>
        </w:rPr>
        <w:t>.</w:t>
      </w:r>
    </w:p>
    <w:bookmarkEnd w:id="2"/>
    <w:p w14:paraId="4FDE3AE1" w14:textId="77777777" w:rsidR="004648E7" w:rsidRPr="00F65C9C" w:rsidRDefault="004648E7" w:rsidP="00B017E7">
      <w:pPr>
        <w:rPr>
          <w:rFonts w:asciiTheme="minorHAnsi" w:hAnsiTheme="minorHAnsi" w:cstheme="minorHAnsi"/>
          <w:szCs w:val="24"/>
        </w:rPr>
      </w:pPr>
    </w:p>
    <w:p w14:paraId="7938BE1C" w14:textId="76476AE0" w:rsidR="00D63A56" w:rsidRPr="00F65C9C" w:rsidRDefault="00D5506D" w:rsidP="00506153">
      <w:pPr>
        <w:rPr>
          <w:rFonts w:asciiTheme="minorHAnsi" w:hAnsiTheme="minorHAnsi" w:cstheme="minorHAnsi"/>
          <w:szCs w:val="24"/>
        </w:rPr>
      </w:pPr>
      <w:r w:rsidRPr="00F65C9C">
        <w:rPr>
          <w:rFonts w:asciiTheme="minorHAnsi" w:hAnsiTheme="minorHAnsi" w:cstheme="minorHAnsi"/>
          <w:b/>
          <w:szCs w:val="24"/>
        </w:rPr>
        <w:lastRenderedPageBreak/>
        <w:t xml:space="preserve">Travel </w:t>
      </w:r>
      <w:r w:rsidR="00C55F79" w:rsidRPr="00F65C9C">
        <w:rPr>
          <w:rFonts w:asciiTheme="minorHAnsi" w:hAnsiTheme="minorHAnsi" w:cstheme="minorHAnsi"/>
          <w:b/>
          <w:szCs w:val="24"/>
        </w:rPr>
        <w:t>–</w:t>
      </w:r>
      <w:r w:rsidR="0010252E" w:rsidRPr="00F65C9C">
        <w:rPr>
          <w:rFonts w:asciiTheme="minorHAnsi" w:hAnsiTheme="minorHAnsi" w:cstheme="minorHAnsi"/>
          <w:b/>
          <w:szCs w:val="24"/>
        </w:rPr>
        <w:t xml:space="preserve"> </w:t>
      </w:r>
      <w:r w:rsidRPr="00F65C9C">
        <w:rPr>
          <w:rFonts w:asciiTheme="minorHAnsi" w:hAnsiTheme="minorHAnsi" w:cstheme="minorHAnsi"/>
          <w:szCs w:val="24"/>
        </w:rPr>
        <w:t xml:space="preserve">Essential project-related travel expenses will be reimbursed at cost up to the limits allowed by the State’s </w:t>
      </w:r>
      <w:hyperlink r:id="rId9" w:history="1">
        <w:r w:rsidRPr="00F65C9C">
          <w:rPr>
            <w:rStyle w:val="Hyperlink"/>
            <w:rFonts w:asciiTheme="minorHAnsi" w:hAnsiTheme="minorHAnsi" w:cstheme="minorHAnsi"/>
            <w:szCs w:val="24"/>
          </w:rPr>
          <w:t>Travel Guidelines</w:t>
        </w:r>
      </w:hyperlink>
      <w:r w:rsidRPr="00F65C9C">
        <w:rPr>
          <w:rFonts w:asciiTheme="minorHAnsi" w:hAnsiTheme="minorHAnsi" w:cstheme="minorHAnsi"/>
          <w:szCs w:val="24"/>
        </w:rPr>
        <w:t>. The budget should describe the necessary trips and travel costs within this category. The State</w:t>
      </w:r>
      <w:r w:rsidR="0010252E" w:rsidRPr="00F65C9C">
        <w:rPr>
          <w:rFonts w:asciiTheme="minorHAnsi" w:hAnsiTheme="minorHAnsi" w:cstheme="minorHAnsi"/>
          <w:szCs w:val="24"/>
        </w:rPr>
        <w:t xml:space="preserve">’s Travel </w:t>
      </w:r>
      <w:r w:rsidRPr="00F65C9C">
        <w:rPr>
          <w:rFonts w:asciiTheme="minorHAnsi" w:hAnsiTheme="minorHAnsi" w:cstheme="minorHAnsi"/>
          <w:szCs w:val="24"/>
        </w:rPr>
        <w:t xml:space="preserve">Guidelines have strict limits on reimbursement for mileage, hotels, and meals among other costs. Grantees must review these guidelines and use the state’s travel reimbursement form when billing for travel costs. Receipts will be required. Grantees </w:t>
      </w:r>
      <w:r w:rsidR="00785AD4" w:rsidRPr="00F65C9C">
        <w:rPr>
          <w:rFonts w:asciiTheme="minorHAnsi" w:hAnsiTheme="minorHAnsi" w:cstheme="minorHAnsi"/>
          <w:szCs w:val="24"/>
        </w:rPr>
        <w:t>(</w:t>
      </w:r>
      <w:r w:rsidRPr="00F65C9C">
        <w:rPr>
          <w:rFonts w:asciiTheme="minorHAnsi" w:hAnsiTheme="minorHAnsi" w:cstheme="minorHAnsi"/>
          <w:szCs w:val="24"/>
        </w:rPr>
        <w:t>and their con</w:t>
      </w:r>
      <w:r w:rsidR="00785AD4" w:rsidRPr="00F65C9C">
        <w:rPr>
          <w:rFonts w:asciiTheme="minorHAnsi" w:hAnsiTheme="minorHAnsi" w:cstheme="minorHAnsi"/>
          <w:szCs w:val="24"/>
        </w:rPr>
        <w:t>tractors)</w:t>
      </w:r>
      <w:r w:rsidRPr="00F65C9C">
        <w:rPr>
          <w:rFonts w:asciiTheme="minorHAnsi" w:hAnsiTheme="minorHAnsi" w:cstheme="minorHAnsi"/>
          <w:szCs w:val="24"/>
        </w:rPr>
        <w:t xml:space="preserve"> may be reimbursed for use/rental of </w:t>
      </w:r>
      <w:r w:rsidR="000E0178" w:rsidRPr="00F65C9C">
        <w:rPr>
          <w:rFonts w:asciiTheme="minorHAnsi" w:hAnsiTheme="minorHAnsi" w:cstheme="minorHAnsi"/>
          <w:szCs w:val="24"/>
        </w:rPr>
        <w:t xml:space="preserve">special equipment (trucks, boats, etc.) </w:t>
      </w:r>
      <w:r w:rsidRPr="00F65C9C">
        <w:rPr>
          <w:rFonts w:asciiTheme="minorHAnsi" w:hAnsiTheme="minorHAnsi" w:cstheme="minorHAnsi"/>
          <w:szCs w:val="24"/>
        </w:rPr>
        <w:t xml:space="preserve">if </w:t>
      </w:r>
      <w:r w:rsidR="000E0178" w:rsidRPr="00F65C9C">
        <w:rPr>
          <w:rFonts w:asciiTheme="minorHAnsi" w:hAnsiTheme="minorHAnsi" w:cstheme="minorHAnsi"/>
          <w:szCs w:val="24"/>
        </w:rPr>
        <w:t>it is needed for the project</w:t>
      </w:r>
      <w:r w:rsidR="0047427D" w:rsidRPr="00F65C9C">
        <w:rPr>
          <w:rFonts w:asciiTheme="minorHAnsi" w:hAnsiTheme="minorHAnsi" w:cstheme="minorHAnsi"/>
          <w:szCs w:val="24"/>
        </w:rPr>
        <w:t xml:space="preserve">, </w:t>
      </w:r>
      <w:r w:rsidR="000E0178" w:rsidRPr="00F65C9C">
        <w:rPr>
          <w:rFonts w:asciiTheme="minorHAnsi" w:hAnsiTheme="minorHAnsi" w:cstheme="minorHAnsi"/>
          <w:szCs w:val="24"/>
        </w:rPr>
        <w:t>included in the approved budget</w:t>
      </w:r>
      <w:r w:rsidR="0047427D" w:rsidRPr="00F65C9C">
        <w:rPr>
          <w:rFonts w:asciiTheme="minorHAnsi" w:hAnsiTheme="minorHAnsi" w:cstheme="minorHAnsi"/>
          <w:szCs w:val="24"/>
        </w:rPr>
        <w:t>, and documented</w:t>
      </w:r>
      <w:r w:rsidRPr="00F65C9C">
        <w:rPr>
          <w:rFonts w:asciiTheme="minorHAnsi" w:hAnsiTheme="minorHAnsi" w:cstheme="minorHAnsi"/>
          <w:szCs w:val="24"/>
        </w:rPr>
        <w:t>.</w:t>
      </w:r>
      <w:r w:rsidR="00BA396B" w:rsidRPr="00F65C9C">
        <w:rPr>
          <w:rFonts w:asciiTheme="minorHAnsi" w:hAnsiTheme="minorHAnsi" w:cstheme="minorHAnsi"/>
          <w:szCs w:val="24"/>
        </w:rPr>
        <w:t xml:space="preserve"> </w:t>
      </w:r>
      <w:r w:rsidR="00BA6DE5" w:rsidRPr="00F65C9C">
        <w:rPr>
          <w:rFonts w:asciiTheme="minorHAnsi" w:hAnsiTheme="minorHAnsi" w:cstheme="minorHAnsi"/>
          <w:szCs w:val="24"/>
        </w:rPr>
        <w:t xml:space="preserve">Both In-State </w:t>
      </w:r>
      <w:r w:rsidR="002E526F" w:rsidRPr="00F65C9C">
        <w:rPr>
          <w:rFonts w:asciiTheme="minorHAnsi" w:hAnsiTheme="minorHAnsi" w:cstheme="minorHAnsi"/>
          <w:szCs w:val="24"/>
        </w:rPr>
        <w:t xml:space="preserve">overnight travel </w:t>
      </w:r>
      <w:r w:rsidR="00BA6DE5" w:rsidRPr="00F65C9C">
        <w:rPr>
          <w:rFonts w:asciiTheme="minorHAnsi" w:hAnsiTheme="minorHAnsi" w:cstheme="minorHAnsi"/>
          <w:szCs w:val="24"/>
        </w:rPr>
        <w:t xml:space="preserve">and Out-of-State travel must be pre-approved by the Conservancy.  </w:t>
      </w:r>
    </w:p>
    <w:p w14:paraId="041B6DDA" w14:textId="08BA172F" w:rsidR="00BB5C16" w:rsidRPr="00F65C9C" w:rsidRDefault="00BB5C16" w:rsidP="00506153">
      <w:pPr>
        <w:rPr>
          <w:rFonts w:asciiTheme="minorHAnsi" w:hAnsiTheme="minorHAnsi" w:cstheme="minorHAnsi"/>
          <w:b/>
          <w:szCs w:val="24"/>
        </w:rPr>
      </w:pPr>
    </w:p>
    <w:p w14:paraId="66181667" w14:textId="1089364B" w:rsidR="00BB5C16" w:rsidRPr="00F65C9C" w:rsidRDefault="00BB5C16" w:rsidP="00506153">
      <w:pPr>
        <w:rPr>
          <w:rFonts w:asciiTheme="minorHAnsi" w:hAnsiTheme="minorHAnsi" w:cstheme="minorHAnsi"/>
          <w:b/>
          <w:szCs w:val="24"/>
        </w:rPr>
      </w:pPr>
      <w:r w:rsidRPr="00F65C9C">
        <w:rPr>
          <w:rFonts w:asciiTheme="minorHAnsi" w:hAnsiTheme="minorHAnsi" w:cstheme="minorHAnsi"/>
          <w:b/>
          <w:szCs w:val="24"/>
        </w:rPr>
        <w:t xml:space="preserve">Training – </w:t>
      </w:r>
      <w:r w:rsidRPr="00F65C9C">
        <w:rPr>
          <w:rFonts w:asciiTheme="minorHAnsi" w:hAnsiTheme="minorHAnsi" w:cstheme="minorHAnsi"/>
          <w:szCs w:val="24"/>
        </w:rPr>
        <w:t xml:space="preserve">The Conservancy can pay for </w:t>
      </w:r>
      <w:r w:rsidR="00A843BC" w:rsidRPr="00F65C9C">
        <w:rPr>
          <w:rFonts w:asciiTheme="minorHAnsi" w:hAnsiTheme="minorHAnsi" w:cstheme="minorHAnsi"/>
          <w:szCs w:val="24"/>
        </w:rPr>
        <w:t xml:space="preserve">trainings or </w:t>
      </w:r>
      <w:r w:rsidRPr="00F65C9C">
        <w:rPr>
          <w:rFonts w:asciiTheme="minorHAnsi" w:hAnsiTheme="minorHAnsi" w:cstheme="minorHAnsi"/>
          <w:szCs w:val="24"/>
        </w:rPr>
        <w:t xml:space="preserve">conferences that clearly support successful implementation of a project and are clearly identified in the Work Program.  These should be a separate line item on the approved budget.  </w:t>
      </w:r>
    </w:p>
    <w:p w14:paraId="10E23741" w14:textId="77777777" w:rsidR="00DE0CA8" w:rsidRPr="00F65C9C" w:rsidRDefault="00DE0CA8" w:rsidP="00081410">
      <w:pPr>
        <w:rPr>
          <w:rFonts w:asciiTheme="minorHAnsi" w:hAnsiTheme="minorHAnsi" w:cstheme="minorHAnsi"/>
          <w:b/>
          <w:szCs w:val="24"/>
        </w:rPr>
      </w:pPr>
    </w:p>
    <w:p w14:paraId="516E6E7C" w14:textId="77777777" w:rsidR="00464527" w:rsidRPr="00F65C9C" w:rsidRDefault="00785AD4" w:rsidP="00464527">
      <w:pPr>
        <w:rPr>
          <w:rFonts w:asciiTheme="minorHAnsi" w:hAnsiTheme="minorHAnsi" w:cstheme="minorHAnsi"/>
          <w:b/>
          <w:szCs w:val="24"/>
        </w:rPr>
      </w:pPr>
      <w:bookmarkStart w:id="3" w:name="_Hlk6309181"/>
      <w:r w:rsidRPr="00F65C9C">
        <w:rPr>
          <w:rFonts w:asciiTheme="minorHAnsi" w:hAnsiTheme="minorHAnsi" w:cstheme="minorHAnsi"/>
          <w:b/>
          <w:szCs w:val="24"/>
        </w:rPr>
        <w:t xml:space="preserve">Contractors and </w:t>
      </w:r>
      <w:r w:rsidR="00464527" w:rsidRPr="00F65C9C">
        <w:rPr>
          <w:rFonts w:asciiTheme="minorHAnsi" w:hAnsiTheme="minorHAnsi" w:cstheme="minorHAnsi"/>
          <w:b/>
          <w:szCs w:val="24"/>
        </w:rPr>
        <w:t>Subcon</w:t>
      </w:r>
      <w:r w:rsidRPr="00F65C9C">
        <w:rPr>
          <w:rFonts w:asciiTheme="minorHAnsi" w:hAnsiTheme="minorHAnsi" w:cstheme="minorHAnsi"/>
          <w:b/>
          <w:szCs w:val="24"/>
        </w:rPr>
        <w:t>tractors</w:t>
      </w:r>
      <w:r w:rsidR="00464527" w:rsidRPr="00F65C9C">
        <w:rPr>
          <w:rFonts w:asciiTheme="minorHAnsi" w:hAnsiTheme="minorHAnsi" w:cstheme="minorHAnsi"/>
          <w:b/>
          <w:szCs w:val="24"/>
        </w:rPr>
        <w:t xml:space="preserve"> </w:t>
      </w:r>
      <w:bookmarkEnd w:id="3"/>
      <w:r w:rsidR="00464527" w:rsidRPr="00F65C9C">
        <w:rPr>
          <w:rFonts w:asciiTheme="minorHAnsi" w:hAnsiTheme="minorHAnsi" w:cstheme="minorHAnsi"/>
          <w:b/>
          <w:szCs w:val="24"/>
        </w:rPr>
        <w:t xml:space="preserve">- </w:t>
      </w:r>
      <w:bookmarkStart w:id="4" w:name="_Hlk6309195"/>
      <w:r w:rsidRPr="00F65C9C">
        <w:rPr>
          <w:rFonts w:asciiTheme="minorHAnsi" w:hAnsiTheme="minorHAnsi" w:cstheme="minorHAnsi"/>
          <w:szCs w:val="24"/>
        </w:rPr>
        <w:t>Contractors to a nonprofit (and their subs) must be approved as part of the workplan and budget</w:t>
      </w:r>
      <w:r w:rsidR="00464527" w:rsidRPr="00F65C9C">
        <w:rPr>
          <w:rFonts w:asciiTheme="minorHAnsi" w:hAnsiTheme="minorHAnsi" w:cstheme="minorHAnsi"/>
          <w:szCs w:val="24"/>
        </w:rPr>
        <w:t xml:space="preserve">. Invoices from </w:t>
      </w:r>
      <w:r w:rsidRPr="00F65C9C">
        <w:rPr>
          <w:rFonts w:asciiTheme="minorHAnsi" w:hAnsiTheme="minorHAnsi" w:cstheme="minorHAnsi"/>
          <w:szCs w:val="24"/>
        </w:rPr>
        <w:t xml:space="preserve">contractors </w:t>
      </w:r>
      <w:r w:rsidR="00464527" w:rsidRPr="00F65C9C">
        <w:rPr>
          <w:rFonts w:asciiTheme="minorHAnsi" w:hAnsiTheme="minorHAnsi" w:cstheme="minorHAnsi"/>
          <w:szCs w:val="24"/>
        </w:rPr>
        <w:t>should be included as backup documentation in grantee invoices</w:t>
      </w:r>
      <w:r w:rsidR="00C565CA" w:rsidRPr="00F65C9C">
        <w:rPr>
          <w:rFonts w:asciiTheme="minorHAnsi" w:hAnsiTheme="minorHAnsi" w:cstheme="minorHAnsi"/>
          <w:szCs w:val="24"/>
        </w:rPr>
        <w:t xml:space="preserve"> and the invoice must either have the contractor’s letterhead or a signature</w:t>
      </w:r>
      <w:r w:rsidR="00464527" w:rsidRPr="00F65C9C">
        <w:rPr>
          <w:rFonts w:asciiTheme="minorHAnsi" w:hAnsiTheme="minorHAnsi" w:cstheme="minorHAnsi"/>
          <w:szCs w:val="24"/>
        </w:rPr>
        <w:t>.</w:t>
      </w:r>
      <w:r w:rsidRPr="00F65C9C">
        <w:rPr>
          <w:rFonts w:asciiTheme="minorHAnsi" w:hAnsiTheme="minorHAnsi" w:cstheme="minorHAnsi"/>
          <w:szCs w:val="24"/>
        </w:rPr>
        <w:t xml:space="preserve"> For-profit contractors working for a nonprofit organization may include mark-ups in their billing </w:t>
      </w:r>
      <w:proofErr w:type="gramStart"/>
      <w:r w:rsidRPr="00F65C9C">
        <w:rPr>
          <w:rFonts w:asciiTheme="minorHAnsi" w:hAnsiTheme="minorHAnsi" w:cstheme="minorHAnsi"/>
          <w:szCs w:val="24"/>
        </w:rPr>
        <w:t>as long as</w:t>
      </w:r>
      <w:proofErr w:type="gramEnd"/>
      <w:r w:rsidRPr="00F65C9C">
        <w:rPr>
          <w:rFonts w:asciiTheme="minorHAnsi" w:hAnsiTheme="minorHAnsi" w:cstheme="minorHAnsi"/>
          <w:szCs w:val="24"/>
        </w:rPr>
        <w:t xml:space="preserve"> their rates and overall budget has been approved.</w:t>
      </w:r>
      <w:bookmarkEnd w:id="4"/>
    </w:p>
    <w:p w14:paraId="14917BE4" w14:textId="77777777" w:rsidR="00464527" w:rsidRPr="00F65C9C" w:rsidRDefault="00464527" w:rsidP="00464527">
      <w:pPr>
        <w:rPr>
          <w:rFonts w:asciiTheme="minorHAnsi" w:hAnsiTheme="minorHAnsi" w:cstheme="minorHAnsi"/>
          <w:b/>
          <w:szCs w:val="24"/>
        </w:rPr>
      </w:pPr>
    </w:p>
    <w:p w14:paraId="2C4AA26F" w14:textId="77777777" w:rsidR="00506153" w:rsidRPr="00F65C9C" w:rsidRDefault="00506153" w:rsidP="00506153">
      <w:pPr>
        <w:rPr>
          <w:rFonts w:asciiTheme="minorHAnsi" w:hAnsiTheme="minorHAnsi" w:cstheme="minorHAnsi"/>
          <w:szCs w:val="24"/>
          <w:u w:val="single"/>
        </w:rPr>
      </w:pPr>
    </w:p>
    <w:p w14:paraId="4646568A" w14:textId="7B7E7871" w:rsidR="00C565CA" w:rsidRPr="00F65C9C" w:rsidRDefault="006F176E" w:rsidP="00506153">
      <w:pPr>
        <w:rPr>
          <w:rFonts w:asciiTheme="minorHAnsi" w:hAnsiTheme="minorHAnsi" w:cstheme="minorHAnsi"/>
          <w:b/>
          <w:szCs w:val="24"/>
          <w:u w:val="single"/>
        </w:rPr>
      </w:pPr>
      <w:r w:rsidRPr="00F65C9C">
        <w:rPr>
          <w:rFonts w:asciiTheme="minorHAnsi" w:hAnsiTheme="minorHAnsi" w:cstheme="minorHAnsi"/>
          <w:b/>
          <w:szCs w:val="24"/>
          <w:u w:val="single"/>
        </w:rPr>
        <w:t xml:space="preserve">HOW </w:t>
      </w:r>
      <w:r w:rsidR="00C2487F" w:rsidRPr="00F65C9C">
        <w:rPr>
          <w:rFonts w:asciiTheme="minorHAnsi" w:hAnsiTheme="minorHAnsi" w:cstheme="minorHAnsi"/>
          <w:b/>
          <w:szCs w:val="24"/>
          <w:u w:val="single"/>
        </w:rPr>
        <w:t>TO INVOICE THE CONSERVANCY</w:t>
      </w:r>
    </w:p>
    <w:p w14:paraId="15132FA4" w14:textId="3DE7424C" w:rsidR="00EC37B2" w:rsidRPr="00F65C9C" w:rsidRDefault="00F65C9C" w:rsidP="00EC37B2">
      <w:pPr>
        <w:rPr>
          <w:rFonts w:asciiTheme="minorHAnsi" w:hAnsiTheme="minorHAnsi" w:cstheme="minorHAnsi"/>
          <w:szCs w:val="24"/>
        </w:rPr>
      </w:pPr>
      <w:hyperlink r:id="rId10" w:history="1">
        <w:r w:rsidR="00C2487F" w:rsidRPr="00F65C9C">
          <w:rPr>
            <w:rStyle w:val="Hyperlink"/>
            <w:rFonts w:asciiTheme="minorHAnsi" w:hAnsiTheme="minorHAnsi" w:cstheme="minorHAnsi"/>
            <w:szCs w:val="24"/>
          </w:rPr>
          <w:t>Instructions</w:t>
        </w:r>
      </w:hyperlink>
      <w:r w:rsidR="00C2487F" w:rsidRPr="00F65C9C">
        <w:rPr>
          <w:rFonts w:asciiTheme="minorHAnsi" w:hAnsiTheme="minorHAnsi" w:cstheme="minorHAnsi"/>
          <w:szCs w:val="24"/>
        </w:rPr>
        <w:t xml:space="preserve"> and the form for invoicing the Conservancy are posted on our </w:t>
      </w:r>
      <w:hyperlink r:id="rId11" w:history="1">
        <w:r w:rsidR="00C2487F" w:rsidRPr="00F65C9C">
          <w:rPr>
            <w:rStyle w:val="Hyperlink"/>
            <w:rFonts w:asciiTheme="minorHAnsi" w:hAnsiTheme="minorHAnsi" w:cstheme="minorHAnsi"/>
            <w:szCs w:val="24"/>
          </w:rPr>
          <w:t>website</w:t>
        </w:r>
      </w:hyperlink>
      <w:r w:rsidR="00C2487F" w:rsidRPr="00F65C9C">
        <w:rPr>
          <w:rFonts w:asciiTheme="minorHAnsi" w:hAnsiTheme="minorHAnsi" w:cstheme="minorHAnsi"/>
          <w:szCs w:val="24"/>
        </w:rPr>
        <w:t>.</w:t>
      </w:r>
      <w:r w:rsidR="00284EB1" w:rsidRPr="00F65C9C">
        <w:rPr>
          <w:rFonts w:asciiTheme="minorHAnsi" w:hAnsiTheme="minorHAnsi" w:cstheme="minorHAnsi"/>
          <w:szCs w:val="24"/>
        </w:rPr>
        <w:t xml:space="preserve"> </w:t>
      </w:r>
    </w:p>
    <w:p w14:paraId="3361474E" w14:textId="77777777" w:rsidR="00C565CA" w:rsidRPr="00F65C9C" w:rsidRDefault="00C565CA" w:rsidP="00506153">
      <w:pPr>
        <w:rPr>
          <w:rFonts w:asciiTheme="minorHAnsi" w:hAnsiTheme="minorHAnsi" w:cstheme="minorHAnsi"/>
          <w:szCs w:val="24"/>
        </w:rPr>
      </w:pPr>
    </w:p>
    <w:p w14:paraId="35F94B6F" w14:textId="77777777" w:rsidR="006F176E" w:rsidRPr="00F65C9C" w:rsidRDefault="006F176E" w:rsidP="00506153">
      <w:pPr>
        <w:rPr>
          <w:rFonts w:asciiTheme="minorHAnsi" w:hAnsiTheme="minorHAnsi" w:cstheme="minorHAnsi"/>
          <w:b/>
          <w:szCs w:val="24"/>
          <w:u w:val="single"/>
        </w:rPr>
      </w:pPr>
    </w:p>
    <w:p w14:paraId="37CFC1D5" w14:textId="77777777" w:rsidR="00D37400" w:rsidRPr="00F65C9C" w:rsidRDefault="00506153" w:rsidP="00506153">
      <w:pPr>
        <w:rPr>
          <w:rFonts w:asciiTheme="minorHAnsi" w:hAnsiTheme="minorHAnsi" w:cstheme="minorHAnsi"/>
          <w:b/>
          <w:szCs w:val="24"/>
          <w:u w:val="single"/>
        </w:rPr>
      </w:pPr>
      <w:r w:rsidRPr="00F65C9C">
        <w:rPr>
          <w:rFonts w:asciiTheme="minorHAnsi" w:hAnsiTheme="minorHAnsi" w:cstheme="minorHAnsi"/>
          <w:b/>
          <w:szCs w:val="24"/>
          <w:u w:val="single"/>
        </w:rPr>
        <w:t>REFERENCES</w:t>
      </w:r>
      <w:r w:rsidR="00DE0CA8" w:rsidRPr="00F65C9C">
        <w:rPr>
          <w:rFonts w:asciiTheme="minorHAnsi" w:hAnsiTheme="minorHAnsi" w:cstheme="minorHAnsi"/>
          <w:b/>
          <w:szCs w:val="24"/>
          <w:u w:val="single"/>
        </w:rPr>
        <w:t xml:space="preserve"> </w:t>
      </w:r>
    </w:p>
    <w:p w14:paraId="384BE06C" w14:textId="77777777" w:rsidR="00D37400" w:rsidRPr="00F65C9C" w:rsidRDefault="00D37400" w:rsidP="00506153">
      <w:pPr>
        <w:rPr>
          <w:rFonts w:asciiTheme="minorHAnsi" w:hAnsiTheme="minorHAnsi" w:cstheme="minorHAnsi"/>
          <w:szCs w:val="24"/>
        </w:rPr>
      </w:pPr>
      <w:r w:rsidRPr="00F65C9C">
        <w:rPr>
          <w:rFonts w:asciiTheme="minorHAnsi" w:hAnsiTheme="minorHAnsi" w:cstheme="minorHAnsi"/>
          <w:szCs w:val="24"/>
        </w:rPr>
        <w:t>Natural Resource Agency</w:t>
      </w:r>
      <w:r w:rsidR="003870C4" w:rsidRPr="00F65C9C">
        <w:rPr>
          <w:rFonts w:asciiTheme="minorHAnsi" w:hAnsiTheme="minorHAnsi" w:cstheme="minorHAnsi"/>
          <w:szCs w:val="24"/>
        </w:rPr>
        <w:t>’</w:t>
      </w:r>
      <w:r w:rsidRPr="00F65C9C">
        <w:rPr>
          <w:rFonts w:asciiTheme="minorHAnsi" w:hAnsiTheme="minorHAnsi" w:cstheme="minorHAnsi"/>
          <w:szCs w:val="24"/>
        </w:rPr>
        <w:t xml:space="preserve">s Bond Accountability and Audit Guide: </w:t>
      </w:r>
    </w:p>
    <w:p w14:paraId="51ED531E" w14:textId="77777777" w:rsidR="00D37400" w:rsidRPr="00F65C9C" w:rsidRDefault="00F65C9C" w:rsidP="00506153">
      <w:pPr>
        <w:rPr>
          <w:rFonts w:asciiTheme="minorHAnsi" w:hAnsiTheme="minorHAnsi" w:cstheme="minorHAnsi"/>
          <w:szCs w:val="24"/>
        </w:rPr>
      </w:pPr>
      <w:hyperlink r:id="rId12" w:history="1">
        <w:r w:rsidR="00D37400" w:rsidRPr="00F65C9C">
          <w:rPr>
            <w:rStyle w:val="Hyperlink"/>
            <w:rFonts w:asciiTheme="minorHAnsi" w:hAnsiTheme="minorHAnsi" w:cstheme="minorHAnsi"/>
            <w:szCs w:val="24"/>
          </w:rPr>
          <w:t>http://www.resources.ca.gov/bond/Bond_Accountability_and_Audits.pdf</w:t>
        </w:r>
      </w:hyperlink>
    </w:p>
    <w:p w14:paraId="189A9578" w14:textId="77777777" w:rsidR="00DE0CA8" w:rsidRPr="00F65C9C" w:rsidRDefault="00DE0CA8" w:rsidP="00B86CF3">
      <w:pPr>
        <w:rPr>
          <w:rFonts w:asciiTheme="minorHAnsi" w:hAnsiTheme="minorHAnsi" w:cstheme="minorHAnsi"/>
          <w:szCs w:val="24"/>
        </w:rPr>
      </w:pPr>
    </w:p>
    <w:p w14:paraId="7D64E1D3" w14:textId="77777777" w:rsidR="00DE0CA8" w:rsidRPr="00F65C9C" w:rsidRDefault="00DE0CA8" w:rsidP="00B86CF3">
      <w:pPr>
        <w:rPr>
          <w:rFonts w:asciiTheme="minorHAnsi" w:hAnsiTheme="minorHAnsi" w:cstheme="minorHAnsi"/>
          <w:szCs w:val="24"/>
        </w:rPr>
      </w:pPr>
    </w:p>
    <w:p w14:paraId="22385590" w14:textId="77777777" w:rsidR="00B86CF3" w:rsidRPr="00F65C9C" w:rsidRDefault="00B86CF3" w:rsidP="00B86CF3">
      <w:pPr>
        <w:rPr>
          <w:rFonts w:asciiTheme="minorHAnsi" w:hAnsiTheme="minorHAnsi" w:cstheme="minorHAnsi"/>
          <w:b/>
          <w:szCs w:val="24"/>
          <w:u w:val="single"/>
        </w:rPr>
      </w:pPr>
      <w:r w:rsidRPr="00F65C9C">
        <w:rPr>
          <w:rFonts w:asciiTheme="minorHAnsi" w:hAnsiTheme="minorHAnsi" w:cstheme="minorHAnsi"/>
          <w:b/>
          <w:szCs w:val="24"/>
          <w:u w:val="single"/>
        </w:rPr>
        <w:t xml:space="preserve">DEFINITIONS </w:t>
      </w:r>
    </w:p>
    <w:p w14:paraId="66373D2B" w14:textId="77777777" w:rsidR="00B86CF3" w:rsidRPr="00F65C9C" w:rsidRDefault="00B86CF3" w:rsidP="00B86CF3">
      <w:pPr>
        <w:rPr>
          <w:rFonts w:asciiTheme="minorHAnsi" w:hAnsiTheme="minorHAnsi" w:cstheme="minorHAnsi"/>
          <w:b/>
          <w:szCs w:val="24"/>
          <w:u w:val="single"/>
        </w:rPr>
      </w:pPr>
      <w:bookmarkStart w:id="5" w:name="_GoBack"/>
      <w:bookmarkEnd w:id="5"/>
    </w:p>
    <w:p w14:paraId="70327BE0" w14:textId="77777777" w:rsidR="00B86CF3" w:rsidRPr="00F65C9C" w:rsidRDefault="00B86CF3" w:rsidP="00B86CF3">
      <w:pPr>
        <w:rPr>
          <w:rFonts w:asciiTheme="minorHAnsi" w:hAnsiTheme="minorHAnsi" w:cstheme="minorHAnsi"/>
          <w:szCs w:val="24"/>
        </w:rPr>
      </w:pPr>
      <w:r w:rsidRPr="00F65C9C">
        <w:rPr>
          <w:rFonts w:asciiTheme="minorHAnsi" w:hAnsiTheme="minorHAnsi" w:cstheme="minorHAnsi"/>
          <w:szCs w:val="24"/>
          <w:u w:val="single"/>
        </w:rPr>
        <w:t>Fringe Benefits</w:t>
      </w:r>
      <w:r w:rsidRPr="00F65C9C">
        <w:rPr>
          <w:rFonts w:asciiTheme="minorHAnsi" w:hAnsiTheme="minorHAnsi" w:cstheme="minorHAnsi"/>
          <w:szCs w:val="24"/>
        </w:rPr>
        <w:t xml:space="preserve"> are all employer paid benefits and include things like healthcare benefits, cafeteria plans, gym subsidies, transit reimbursement, and education</w:t>
      </w:r>
      <w:r w:rsidR="00700408" w:rsidRPr="00F65C9C">
        <w:rPr>
          <w:rFonts w:asciiTheme="minorHAnsi" w:hAnsiTheme="minorHAnsi" w:cstheme="minorHAnsi"/>
          <w:szCs w:val="24"/>
        </w:rPr>
        <w:t>al subsidies.  The IRS definition of fringe benefits is here</w:t>
      </w:r>
      <w:r w:rsidRPr="00F65C9C">
        <w:rPr>
          <w:rFonts w:asciiTheme="minorHAnsi" w:hAnsiTheme="minorHAnsi" w:cstheme="minorHAnsi"/>
          <w:szCs w:val="24"/>
        </w:rPr>
        <w:t xml:space="preserve">: </w:t>
      </w:r>
      <w:hyperlink r:id="rId13" w:anchor="en_US_2013_publink1000193623" w:history="1">
        <w:r w:rsidRPr="00F65C9C">
          <w:rPr>
            <w:rStyle w:val="Hyperlink"/>
            <w:rFonts w:asciiTheme="minorHAnsi" w:hAnsiTheme="minorHAnsi" w:cstheme="minorHAnsi"/>
            <w:szCs w:val="24"/>
            <w:u w:val="none"/>
          </w:rPr>
          <w:t>http://www.irs.gov/publications/p15b/ar02.html#en_US_2013_publink1000193623</w:t>
        </w:r>
      </w:hyperlink>
      <w:r w:rsidR="009F2C0F" w:rsidRPr="00F65C9C">
        <w:rPr>
          <w:rFonts w:asciiTheme="minorHAnsi" w:hAnsiTheme="minorHAnsi" w:cstheme="minorHAnsi"/>
          <w:szCs w:val="24"/>
        </w:rPr>
        <w:t>.</w:t>
      </w:r>
    </w:p>
    <w:p w14:paraId="5BC737BC" w14:textId="77777777" w:rsidR="001A3E55" w:rsidRPr="00F65C9C" w:rsidRDefault="001A3E55" w:rsidP="00B86CF3">
      <w:pPr>
        <w:rPr>
          <w:rFonts w:asciiTheme="minorHAnsi" w:hAnsiTheme="minorHAnsi" w:cstheme="minorHAnsi"/>
          <w:szCs w:val="24"/>
        </w:rPr>
      </w:pPr>
    </w:p>
    <w:p w14:paraId="04B20EC7" w14:textId="77777777" w:rsidR="001A3E55" w:rsidRPr="00F65C9C" w:rsidRDefault="001A3E55" w:rsidP="00B86CF3">
      <w:pPr>
        <w:rPr>
          <w:rFonts w:asciiTheme="minorHAnsi" w:hAnsiTheme="minorHAnsi" w:cstheme="minorHAnsi"/>
          <w:szCs w:val="24"/>
        </w:rPr>
      </w:pPr>
      <w:r w:rsidRPr="00F65C9C">
        <w:rPr>
          <w:rFonts w:asciiTheme="minorHAnsi" w:hAnsiTheme="minorHAnsi" w:cstheme="minorHAnsi"/>
          <w:szCs w:val="24"/>
          <w:u w:val="single"/>
        </w:rPr>
        <w:t>Overhead or indirect costs</w:t>
      </w:r>
      <w:r w:rsidRPr="00F65C9C">
        <w:rPr>
          <w:rFonts w:asciiTheme="minorHAnsi" w:hAnsiTheme="minorHAnsi" w:cstheme="minorHAnsi"/>
          <w:szCs w:val="24"/>
        </w:rPr>
        <w:t xml:space="preserve"> are costs </w:t>
      </w:r>
      <w:r w:rsidR="003870C4" w:rsidRPr="00F65C9C">
        <w:rPr>
          <w:rFonts w:asciiTheme="minorHAnsi" w:hAnsiTheme="minorHAnsi" w:cstheme="minorHAnsi"/>
          <w:szCs w:val="24"/>
        </w:rPr>
        <w:t xml:space="preserve">that cannot be readily and specifically identified with or attributed to a specific project and include costs </w:t>
      </w:r>
      <w:r w:rsidRPr="00F65C9C">
        <w:rPr>
          <w:rFonts w:asciiTheme="minorHAnsi" w:hAnsiTheme="minorHAnsi" w:cstheme="minorHAnsi"/>
          <w:szCs w:val="24"/>
        </w:rPr>
        <w:t>of doing business (</w:t>
      </w:r>
      <w:r w:rsidR="009F2C0F" w:rsidRPr="00F65C9C">
        <w:rPr>
          <w:rFonts w:asciiTheme="minorHAnsi" w:hAnsiTheme="minorHAnsi" w:cstheme="minorHAnsi"/>
          <w:szCs w:val="24"/>
        </w:rPr>
        <w:t>for example</w:t>
      </w:r>
      <w:r w:rsidRPr="00F65C9C">
        <w:rPr>
          <w:rFonts w:asciiTheme="minorHAnsi" w:hAnsiTheme="minorHAnsi" w:cstheme="minorHAnsi"/>
          <w:szCs w:val="24"/>
        </w:rPr>
        <w:t>, rent, computers, telephones, office supplies, internet access, copy machines, electricity)</w:t>
      </w:r>
      <w:r w:rsidR="009F2C0F" w:rsidRPr="00F65C9C">
        <w:rPr>
          <w:rFonts w:asciiTheme="minorHAnsi" w:hAnsiTheme="minorHAnsi" w:cstheme="minorHAnsi"/>
          <w:szCs w:val="24"/>
        </w:rPr>
        <w:t>.</w:t>
      </w:r>
    </w:p>
    <w:p w14:paraId="3DED95DA" w14:textId="77777777" w:rsidR="001A3E55" w:rsidRPr="00F65C9C" w:rsidRDefault="001A3E55" w:rsidP="00B86CF3">
      <w:pPr>
        <w:rPr>
          <w:rFonts w:asciiTheme="minorHAnsi" w:hAnsiTheme="minorHAnsi" w:cstheme="minorHAnsi"/>
          <w:szCs w:val="24"/>
        </w:rPr>
      </w:pPr>
    </w:p>
    <w:p w14:paraId="5E9A9074" w14:textId="77777777" w:rsidR="001A3E55" w:rsidRPr="00F65C9C" w:rsidRDefault="001A3E55" w:rsidP="00B86CF3">
      <w:pPr>
        <w:rPr>
          <w:rFonts w:asciiTheme="minorHAnsi" w:hAnsiTheme="minorHAnsi" w:cstheme="minorHAnsi"/>
          <w:szCs w:val="24"/>
        </w:rPr>
      </w:pPr>
      <w:r w:rsidRPr="00F65C9C">
        <w:rPr>
          <w:rFonts w:asciiTheme="minorHAnsi" w:hAnsiTheme="minorHAnsi" w:cstheme="minorHAnsi"/>
          <w:szCs w:val="24"/>
          <w:u w:val="single"/>
        </w:rPr>
        <w:t>Cost Allocation Plan</w:t>
      </w:r>
      <w:r w:rsidRPr="00F65C9C">
        <w:rPr>
          <w:rFonts w:asciiTheme="minorHAnsi" w:hAnsiTheme="minorHAnsi" w:cstheme="minorHAnsi"/>
          <w:szCs w:val="24"/>
        </w:rPr>
        <w:t xml:space="preserve"> is a formal accounting plan used to calculate and document the method for recovering overhead costs.</w:t>
      </w:r>
    </w:p>
    <w:sectPr w:rsidR="001A3E55" w:rsidRPr="00F65C9C" w:rsidSect="00204AA9">
      <w:headerReference w:type="default" r:id="rId14"/>
      <w:footerReference w:type="default" r:id="rId15"/>
      <w:footerReference w:type="first" r:id="rId16"/>
      <w:pgSz w:w="12240" w:h="15840" w:code="1"/>
      <w:pgMar w:top="108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BA83F" w14:textId="77777777" w:rsidR="009F64D5" w:rsidRDefault="009F64D5">
      <w:r>
        <w:separator/>
      </w:r>
    </w:p>
  </w:endnote>
  <w:endnote w:type="continuationSeparator" w:id="0">
    <w:p w14:paraId="4E25B857" w14:textId="77777777" w:rsidR="009F64D5" w:rsidRDefault="009F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DB2C" w14:textId="7E678B30" w:rsidR="005B5596" w:rsidRPr="002021D7" w:rsidRDefault="005B5596" w:rsidP="005B5596">
    <w:pPr>
      <w:pStyle w:val="Header"/>
      <w:tabs>
        <w:tab w:val="clear" w:pos="8640"/>
        <w:tab w:val="right" w:pos="936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708A" w14:textId="77777777" w:rsidR="00E820F2" w:rsidRPr="006C0C05" w:rsidRDefault="00E820F2" w:rsidP="006D7523">
    <w:pPr>
      <w:pStyle w:val="Footer"/>
      <w:jc w:val="center"/>
      <w:rPr>
        <w: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D2D75" w14:textId="77777777" w:rsidR="009F64D5" w:rsidRDefault="009F64D5">
      <w:r>
        <w:separator/>
      </w:r>
    </w:p>
  </w:footnote>
  <w:footnote w:type="continuationSeparator" w:id="0">
    <w:p w14:paraId="25F4D593" w14:textId="77777777" w:rsidR="009F64D5" w:rsidRDefault="009F6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A2AC" w14:textId="77777777" w:rsidR="00E820F2" w:rsidRDefault="00E820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D01"/>
    <w:multiLevelType w:val="hybridMultilevel"/>
    <w:tmpl w:val="2D94FC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EE1251"/>
    <w:multiLevelType w:val="hybridMultilevel"/>
    <w:tmpl w:val="91166D1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61357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ACA3106"/>
    <w:multiLevelType w:val="hybridMultilevel"/>
    <w:tmpl w:val="17080D22"/>
    <w:lvl w:ilvl="0" w:tplc="9ED2644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005D62"/>
    <w:multiLevelType w:val="hybridMultilevel"/>
    <w:tmpl w:val="A3D23A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A64591F"/>
    <w:multiLevelType w:val="hybridMultilevel"/>
    <w:tmpl w:val="70BC4BD2"/>
    <w:lvl w:ilvl="0" w:tplc="4D32E84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E4786E"/>
    <w:multiLevelType w:val="hybridMultilevel"/>
    <w:tmpl w:val="176A9E7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FD2FC2"/>
    <w:multiLevelType w:val="hybridMultilevel"/>
    <w:tmpl w:val="A084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E4860"/>
    <w:multiLevelType w:val="hybridMultilevel"/>
    <w:tmpl w:val="392C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C0040"/>
    <w:multiLevelType w:val="hybridMultilevel"/>
    <w:tmpl w:val="CA8CEB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C40D35"/>
    <w:multiLevelType w:val="hybridMultilevel"/>
    <w:tmpl w:val="C0E4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672F8"/>
    <w:multiLevelType w:val="singleLevel"/>
    <w:tmpl w:val="E9E0B2C4"/>
    <w:lvl w:ilvl="0">
      <w:start w:val="1"/>
      <w:numFmt w:val="decimal"/>
      <w:lvlText w:val="%1."/>
      <w:lvlJc w:val="left"/>
      <w:pPr>
        <w:tabs>
          <w:tab w:val="num" w:pos="360"/>
        </w:tabs>
        <w:ind w:left="360" w:hanging="360"/>
      </w:pPr>
      <w:rPr>
        <w:rFonts w:hint="default"/>
      </w:rPr>
    </w:lvl>
  </w:abstractNum>
  <w:abstractNum w:abstractNumId="12" w15:restartNumberingAfterBreak="0">
    <w:nsid w:val="5A914574"/>
    <w:multiLevelType w:val="hybridMultilevel"/>
    <w:tmpl w:val="67A6E80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404F94"/>
    <w:multiLevelType w:val="hybridMultilevel"/>
    <w:tmpl w:val="3F5AD7B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73CA5EE4"/>
    <w:multiLevelType w:val="hybridMultilevel"/>
    <w:tmpl w:val="3890479A"/>
    <w:lvl w:ilvl="0" w:tplc="9718E91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3FF4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7B1322"/>
    <w:multiLevelType w:val="hybridMultilevel"/>
    <w:tmpl w:val="A8E4B7E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2"/>
  </w:num>
  <w:num w:numId="3">
    <w:abstractNumId w:val="15"/>
  </w:num>
  <w:num w:numId="4">
    <w:abstractNumId w:val="0"/>
  </w:num>
  <w:num w:numId="5">
    <w:abstractNumId w:val="16"/>
  </w:num>
  <w:num w:numId="6">
    <w:abstractNumId w:val="9"/>
  </w:num>
  <w:num w:numId="7">
    <w:abstractNumId w:val="14"/>
  </w:num>
  <w:num w:numId="8">
    <w:abstractNumId w:val="4"/>
  </w:num>
  <w:num w:numId="9">
    <w:abstractNumId w:val="6"/>
  </w:num>
  <w:num w:numId="10">
    <w:abstractNumId w:val="5"/>
  </w:num>
  <w:num w:numId="11">
    <w:abstractNumId w:val="1"/>
  </w:num>
  <w:num w:numId="12">
    <w:abstractNumId w:val="12"/>
  </w:num>
  <w:num w:numId="13">
    <w:abstractNumId w:val="13"/>
  </w:num>
  <w:num w:numId="14">
    <w:abstractNumId w:val="3"/>
  </w:num>
  <w:num w:numId="15">
    <w:abstractNumId w:val="9"/>
  </w:num>
  <w:num w:numId="16">
    <w:abstractNumId w:val="10"/>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05"/>
    <w:rsid w:val="00007D4F"/>
    <w:rsid w:val="00014361"/>
    <w:rsid w:val="00021427"/>
    <w:rsid w:val="000224DF"/>
    <w:rsid w:val="00027B2E"/>
    <w:rsid w:val="00047F5F"/>
    <w:rsid w:val="00052BE3"/>
    <w:rsid w:val="000634EB"/>
    <w:rsid w:val="000711C9"/>
    <w:rsid w:val="00081410"/>
    <w:rsid w:val="0009641F"/>
    <w:rsid w:val="000B7C46"/>
    <w:rsid w:val="000E0178"/>
    <w:rsid w:val="00100FBE"/>
    <w:rsid w:val="0010252E"/>
    <w:rsid w:val="00103770"/>
    <w:rsid w:val="00111148"/>
    <w:rsid w:val="00124BB0"/>
    <w:rsid w:val="00152AC9"/>
    <w:rsid w:val="00172330"/>
    <w:rsid w:val="001A3E55"/>
    <w:rsid w:val="001B19DD"/>
    <w:rsid w:val="001C652C"/>
    <w:rsid w:val="001E46E5"/>
    <w:rsid w:val="001E7FAD"/>
    <w:rsid w:val="002021D7"/>
    <w:rsid w:val="00204AA9"/>
    <w:rsid w:val="00207E83"/>
    <w:rsid w:val="00222244"/>
    <w:rsid w:val="00237FC8"/>
    <w:rsid w:val="00241B46"/>
    <w:rsid w:val="00246E95"/>
    <w:rsid w:val="00252E8C"/>
    <w:rsid w:val="002700C3"/>
    <w:rsid w:val="002713E1"/>
    <w:rsid w:val="0027607A"/>
    <w:rsid w:val="00284EB1"/>
    <w:rsid w:val="002B0D97"/>
    <w:rsid w:val="002C1424"/>
    <w:rsid w:val="002E526F"/>
    <w:rsid w:val="002F1A7E"/>
    <w:rsid w:val="002F4765"/>
    <w:rsid w:val="00341DDA"/>
    <w:rsid w:val="00354936"/>
    <w:rsid w:val="00355E7D"/>
    <w:rsid w:val="00362930"/>
    <w:rsid w:val="0038351A"/>
    <w:rsid w:val="003870C4"/>
    <w:rsid w:val="0039018D"/>
    <w:rsid w:val="0039126A"/>
    <w:rsid w:val="003A5051"/>
    <w:rsid w:val="003C143C"/>
    <w:rsid w:val="003C2096"/>
    <w:rsid w:val="003D4AE1"/>
    <w:rsid w:val="003F144E"/>
    <w:rsid w:val="00412E53"/>
    <w:rsid w:val="00434E34"/>
    <w:rsid w:val="004550E9"/>
    <w:rsid w:val="0046100C"/>
    <w:rsid w:val="00464527"/>
    <w:rsid w:val="004648E7"/>
    <w:rsid w:val="00467D14"/>
    <w:rsid w:val="0047427D"/>
    <w:rsid w:val="004770FC"/>
    <w:rsid w:val="0048320D"/>
    <w:rsid w:val="004C0EB3"/>
    <w:rsid w:val="004E554E"/>
    <w:rsid w:val="004E7F14"/>
    <w:rsid w:val="00506153"/>
    <w:rsid w:val="0050748D"/>
    <w:rsid w:val="00507A4F"/>
    <w:rsid w:val="00507B00"/>
    <w:rsid w:val="00510B5E"/>
    <w:rsid w:val="005265EC"/>
    <w:rsid w:val="00527E04"/>
    <w:rsid w:val="00560B21"/>
    <w:rsid w:val="00573C2E"/>
    <w:rsid w:val="005747FC"/>
    <w:rsid w:val="00592485"/>
    <w:rsid w:val="0059313A"/>
    <w:rsid w:val="005B5596"/>
    <w:rsid w:val="005B5DAC"/>
    <w:rsid w:val="005C7478"/>
    <w:rsid w:val="005F1267"/>
    <w:rsid w:val="00607F61"/>
    <w:rsid w:val="0061077A"/>
    <w:rsid w:val="006207F0"/>
    <w:rsid w:val="00631B24"/>
    <w:rsid w:val="00634A3E"/>
    <w:rsid w:val="00640642"/>
    <w:rsid w:val="00650967"/>
    <w:rsid w:val="00651957"/>
    <w:rsid w:val="006635BD"/>
    <w:rsid w:val="0067021A"/>
    <w:rsid w:val="00673CB3"/>
    <w:rsid w:val="006804E8"/>
    <w:rsid w:val="00680CEF"/>
    <w:rsid w:val="0068284F"/>
    <w:rsid w:val="006B2D92"/>
    <w:rsid w:val="006B68DD"/>
    <w:rsid w:val="006C0C05"/>
    <w:rsid w:val="006C12CB"/>
    <w:rsid w:val="006C7CC8"/>
    <w:rsid w:val="006D363C"/>
    <w:rsid w:val="006D7523"/>
    <w:rsid w:val="006F176E"/>
    <w:rsid w:val="00700408"/>
    <w:rsid w:val="00710795"/>
    <w:rsid w:val="00723E2F"/>
    <w:rsid w:val="007327C1"/>
    <w:rsid w:val="00742568"/>
    <w:rsid w:val="007450CC"/>
    <w:rsid w:val="00746F08"/>
    <w:rsid w:val="007476FD"/>
    <w:rsid w:val="0076364D"/>
    <w:rsid w:val="00777E0A"/>
    <w:rsid w:val="00785AD4"/>
    <w:rsid w:val="00792DF1"/>
    <w:rsid w:val="007B6010"/>
    <w:rsid w:val="007C03EA"/>
    <w:rsid w:val="007D357B"/>
    <w:rsid w:val="007D35E7"/>
    <w:rsid w:val="007F1937"/>
    <w:rsid w:val="008251E6"/>
    <w:rsid w:val="00827565"/>
    <w:rsid w:val="00831316"/>
    <w:rsid w:val="008A4454"/>
    <w:rsid w:val="008A55DB"/>
    <w:rsid w:val="008B535C"/>
    <w:rsid w:val="008C2BB8"/>
    <w:rsid w:val="008C306A"/>
    <w:rsid w:val="008C3509"/>
    <w:rsid w:val="008D7FD6"/>
    <w:rsid w:val="008F68CA"/>
    <w:rsid w:val="008F76B4"/>
    <w:rsid w:val="00911FBF"/>
    <w:rsid w:val="00934F2E"/>
    <w:rsid w:val="00952DC5"/>
    <w:rsid w:val="009573B6"/>
    <w:rsid w:val="009615C4"/>
    <w:rsid w:val="009719C2"/>
    <w:rsid w:val="009722D8"/>
    <w:rsid w:val="00980A4C"/>
    <w:rsid w:val="00992D66"/>
    <w:rsid w:val="009942E3"/>
    <w:rsid w:val="009D7390"/>
    <w:rsid w:val="009E6019"/>
    <w:rsid w:val="009F25D9"/>
    <w:rsid w:val="009F2C0F"/>
    <w:rsid w:val="009F64D5"/>
    <w:rsid w:val="00A037C9"/>
    <w:rsid w:val="00A1179C"/>
    <w:rsid w:val="00A17F96"/>
    <w:rsid w:val="00A34065"/>
    <w:rsid w:val="00A843BC"/>
    <w:rsid w:val="00A910A3"/>
    <w:rsid w:val="00AA66C9"/>
    <w:rsid w:val="00AB11C4"/>
    <w:rsid w:val="00AD5CE5"/>
    <w:rsid w:val="00AE7C43"/>
    <w:rsid w:val="00AF44C9"/>
    <w:rsid w:val="00B017E7"/>
    <w:rsid w:val="00B36E26"/>
    <w:rsid w:val="00B531E2"/>
    <w:rsid w:val="00B66A97"/>
    <w:rsid w:val="00B77734"/>
    <w:rsid w:val="00B86CF3"/>
    <w:rsid w:val="00B914B6"/>
    <w:rsid w:val="00BA396B"/>
    <w:rsid w:val="00BA6DE5"/>
    <w:rsid w:val="00BB0D76"/>
    <w:rsid w:val="00BB524F"/>
    <w:rsid w:val="00BB5C16"/>
    <w:rsid w:val="00BD6E6A"/>
    <w:rsid w:val="00BE0BB9"/>
    <w:rsid w:val="00C2487F"/>
    <w:rsid w:val="00C3251B"/>
    <w:rsid w:val="00C3406F"/>
    <w:rsid w:val="00C45F30"/>
    <w:rsid w:val="00C55F79"/>
    <w:rsid w:val="00C56087"/>
    <w:rsid w:val="00C565CA"/>
    <w:rsid w:val="00C94B4F"/>
    <w:rsid w:val="00CB245B"/>
    <w:rsid w:val="00CB5F73"/>
    <w:rsid w:val="00CC1ADA"/>
    <w:rsid w:val="00CD2620"/>
    <w:rsid w:val="00CE27E0"/>
    <w:rsid w:val="00CE3674"/>
    <w:rsid w:val="00D234F6"/>
    <w:rsid w:val="00D32C39"/>
    <w:rsid w:val="00D33B3F"/>
    <w:rsid w:val="00D37400"/>
    <w:rsid w:val="00D46229"/>
    <w:rsid w:val="00D5506D"/>
    <w:rsid w:val="00D60655"/>
    <w:rsid w:val="00D63A56"/>
    <w:rsid w:val="00D70628"/>
    <w:rsid w:val="00D71673"/>
    <w:rsid w:val="00D759CC"/>
    <w:rsid w:val="00D8355A"/>
    <w:rsid w:val="00D92507"/>
    <w:rsid w:val="00D9492F"/>
    <w:rsid w:val="00D95BE9"/>
    <w:rsid w:val="00D95D9E"/>
    <w:rsid w:val="00DA3AE2"/>
    <w:rsid w:val="00DC3575"/>
    <w:rsid w:val="00DC78A5"/>
    <w:rsid w:val="00DE0CA8"/>
    <w:rsid w:val="00DE1E2A"/>
    <w:rsid w:val="00DF01EA"/>
    <w:rsid w:val="00DF3A1B"/>
    <w:rsid w:val="00DF40B7"/>
    <w:rsid w:val="00E02B5D"/>
    <w:rsid w:val="00E07E99"/>
    <w:rsid w:val="00E1102A"/>
    <w:rsid w:val="00E61A59"/>
    <w:rsid w:val="00E636E6"/>
    <w:rsid w:val="00E64303"/>
    <w:rsid w:val="00E710CE"/>
    <w:rsid w:val="00E810DE"/>
    <w:rsid w:val="00E820F2"/>
    <w:rsid w:val="00E83E37"/>
    <w:rsid w:val="00E90ADB"/>
    <w:rsid w:val="00E90F9B"/>
    <w:rsid w:val="00E960F9"/>
    <w:rsid w:val="00E97C4A"/>
    <w:rsid w:val="00EA1718"/>
    <w:rsid w:val="00EB29DA"/>
    <w:rsid w:val="00EB4C29"/>
    <w:rsid w:val="00EC37B2"/>
    <w:rsid w:val="00EC4DC5"/>
    <w:rsid w:val="00EC65D2"/>
    <w:rsid w:val="00ED2954"/>
    <w:rsid w:val="00F062B4"/>
    <w:rsid w:val="00F10AD3"/>
    <w:rsid w:val="00F2699A"/>
    <w:rsid w:val="00F27B65"/>
    <w:rsid w:val="00F40DF2"/>
    <w:rsid w:val="00F40EA9"/>
    <w:rsid w:val="00F4191F"/>
    <w:rsid w:val="00F53D82"/>
    <w:rsid w:val="00F56E92"/>
    <w:rsid w:val="00F65C9C"/>
    <w:rsid w:val="00F76816"/>
    <w:rsid w:val="00F92861"/>
    <w:rsid w:val="00FA2112"/>
    <w:rsid w:val="00FA3481"/>
    <w:rsid w:val="00FB1505"/>
    <w:rsid w:val="00FB7361"/>
    <w:rsid w:val="00FC3609"/>
    <w:rsid w:val="00FD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3EBE25C"/>
  <w15:docId w15:val="{1356A254-1636-48B3-910D-EE048EE9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4AA9"/>
    <w:rPr>
      <w:sz w:val="24"/>
    </w:rPr>
  </w:style>
  <w:style w:type="paragraph" w:styleId="Heading1">
    <w:name w:val="heading 1"/>
    <w:basedOn w:val="Normal"/>
    <w:next w:val="Normal"/>
    <w:qFormat/>
    <w:rsid w:val="00F062B4"/>
    <w:pPr>
      <w:keepNext/>
      <w:outlineLvl w:val="0"/>
    </w:pPr>
    <w:rPr>
      <w:b/>
    </w:rPr>
  </w:style>
  <w:style w:type="paragraph" w:styleId="Heading2">
    <w:name w:val="heading 2"/>
    <w:basedOn w:val="Normal"/>
    <w:next w:val="Normal"/>
    <w:qFormat/>
    <w:rsid w:val="00F062B4"/>
    <w:pPr>
      <w:keepNext/>
      <w:outlineLvl w:val="1"/>
    </w:pPr>
    <w:rPr>
      <w:b/>
      <w:sz w:val="28"/>
    </w:rPr>
  </w:style>
  <w:style w:type="paragraph" w:styleId="Heading3">
    <w:name w:val="heading 3"/>
    <w:basedOn w:val="Normal"/>
    <w:next w:val="Normal"/>
    <w:qFormat/>
    <w:rsid w:val="00F062B4"/>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62B4"/>
    <w:rPr>
      <w:b/>
      <w:u w:val="single"/>
    </w:rPr>
  </w:style>
  <w:style w:type="paragraph" w:styleId="BodyTextIndent">
    <w:name w:val="Body Text Indent"/>
    <w:basedOn w:val="Normal"/>
    <w:rsid w:val="00F062B4"/>
    <w:pPr>
      <w:tabs>
        <w:tab w:val="left" w:pos="-1440"/>
        <w:tab w:val="left" w:pos="-965"/>
        <w:tab w:val="left" w:pos="-490"/>
        <w:tab w:val="left" w:pos="-15"/>
        <w:tab w:val="left" w:pos="360"/>
        <w:tab w:val="left" w:pos="936"/>
        <w:tab w:val="left" w:pos="1411"/>
        <w:tab w:val="left" w:pos="1886"/>
        <w:tab w:val="left" w:pos="2361"/>
        <w:tab w:val="left" w:pos="2836"/>
        <w:tab w:val="left" w:pos="3312"/>
        <w:tab w:val="left" w:pos="3787"/>
        <w:tab w:val="left" w:pos="4262"/>
        <w:tab w:val="left" w:pos="4737"/>
        <w:tab w:val="left" w:pos="5212"/>
        <w:tab w:val="left" w:pos="5688"/>
        <w:tab w:val="left" w:pos="6163"/>
        <w:tab w:val="left" w:pos="6638"/>
        <w:tab w:val="left" w:pos="7113"/>
        <w:tab w:val="left" w:pos="7588"/>
        <w:tab w:val="left" w:pos="8064"/>
        <w:tab w:val="left" w:pos="8539"/>
        <w:tab w:val="left" w:pos="9014"/>
      </w:tabs>
      <w:suppressAutoHyphens/>
      <w:ind w:left="360" w:hanging="360"/>
    </w:pPr>
  </w:style>
  <w:style w:type="paragraph" w:styleId="Header">
    <w:name w:val="header"/>
    <w:basedOn w:val="Normal"/>
    <w:rsid w:val="00F062B4"/>
    <w:pPr>
      <w:tabs>
        <w:tab w:val="center" w:pos="4320"/>
        <w:tab w:val="right" w:pos="8640"/>
      </w:tabs>
    </w:pPr>
  </w:style>
  <w:style w:type="paragraph" w:styleId="Footer">
    <w:name w:val="footer"/>
    <w:basedOn w:val="Normal"/>
    <w:rsid w:val="00F062B4"/>
    <w:pPr>
      <w:tabs>
        <w:tab w:val="center" w:pos="4320"/>
        <w:tab w:val="right" w:pos="8640"/>
      </w:tabs>
    </w:pPr>
  </w:style>
  <w:style w:type="paragraph" w:styleId="BalloonText">
    <w:name w:val="Balloon Text"/>
    <w:basedOn w:val="Normal"/>
    <w:link w:val="BalloonTextChar"/>
    <w:rsid w:val="00111148"/>
    <w:rPr>
      <w:rFonts w:ascii="Tahoma" w:hAnsi="Tahoma" w:cs="Tahoma"/>
      <w:sz w:val="16"/>
      <w:szCs w:val="16"/>
    </w:rPr>
  </w:style>
  <w:style w:type="character" w:customStyle="1" w:styleId="BalloonTextChar">
    <w:name w:val="Balloon Text Char"/>
    <w:basedOn w:val="DefaultParagraphFont"/>
    <w:link w:val="BalloonText"/>
    <w:rsid w:val="00111148"/>
    <w:rPr>
      <w:rFonts w:ascii="Tahoma" w:hAnsi="Tahoma" w:cs="Tahoma"/>
      <w:sz w:val="16"/>
      <w:szCs w:val="16"/>
    </w:rPr>
  </w:style>
  <w:style w:type="character" w:styleId="CommentReference">
    <w:name w:val="annotation reference"/>
    <w:basedOn w:val="DefaultParagraphFont"/>
    <w:rsid w:val="00573C2E"/>
    <w:rPr>
      <w:sz w:val="16"/>
      <w:szCs w:val="16"/>
    </w:rPr>
  </w:style>
  <w:style w:type="paragraph" w:styleId="CommentText">
    <w:name w:val="annotation text"/>
    <w:basedOn w:val="Normal"/>
    <w:link w:val="CommentTextChar"/>
    <w:rsid w:val="00573C2E"/>
    <w:rPr>
      <w:sz w:val="20"/>
    </w:rPr>
  </w:style>
  <w:style w:type="character" w:customStyle="1" w:styleId="CommentTextChar">
    <w:name w:val="Comment Text Char"/>
    <w:basedOn w:val="DefaultParagraphFont"/>
    <w:link w:val="CommentText"/>
    <w:rsid w:val="00573C2E"/>
  </w:style>
  <w:style w:type="paragraph" w:styleId="CommentSubject">
    <w:name w:val="annotation subject"/>
    <w:basedOn w:val="CommentText"/>
    <w:next w:val="CommentText"/>
    <w:link w:val="CommentSubjectChar"/>
    <w:rsid w:val="00573C2E"/>
    <w:rPr>
      <w:b/>
      <w:bCs/>
    </w:rPr>
  </w:style>
  <w:style w:type="character" w:customStyle="1" w:styleId="CommentSubjectChar">
    <w:name w:val="Comment Subject Char"/>
    <w:basedOn w:val="CommentTextChar"/>
    <w:link w:val="CommentSubject"/>
    <w:rsid w:val="00573C2E"/>
    <w:rPr>
      <w:b/>
      <w:bCs/>
    </w:rPr>
  </w:style>
  <w:style w:type="paragraph" w:styleId="Revision">
    <w:name w:val="Revision"/>
    <w:hidden/>
    <w:uiPriority w:val="99"/>
    <w:semiHidden/>
    <w:rsid w:val="00573C2E"/>
    <w:rPr>
      <w:sz w:val="24"/>
    </w:rPr>
  </w:style>
  <w:style w:type="character" w:styleId="Hyperlink">
    <w:name w:val="Hyperlink"/>
    <w:basedOn w:val="DefaultParagraphFont"/>
    <w:rsid w:val="00D37400"/>
    <w:rPr>
      <w:color w:val="0000FF"/>
      <w:u w:val="single"/>
    </w:rPr>
  </w:style>
  <w:style w:type="character" w:styleId="FollowedHyperlink">
    <w:name w:val="FollowedHyperlink"/>
    <w:basedOn w:val="DefaultParagraphFont"/>
    <w:rsid w:val="00027B2E"/>
    <w:rPr>
      <w:color w:val="800080"/>
      <w:u w:val="single"/>
    </w:rPr>
  </w:style>
  <w:style w:type="paragraph" w:styleId="ListParagraph">
    <w:name w:val="List Paragraph"/>
    <w:basedOn w:val="Normal"/>
    <w:link w:val="ListParagraphChar"/>
    <w:uiPriority w:val="34"/>
    <w:qFormat/>
    <w:rsid w:val="00A1179C"/>
    <w:pPr>
      <w:ind w:left="720"/>
      <w:contextualSpacing/>
    </w:pPr>
    <w:rPr>
      <w:rFonts w:asciiTheme="minorHAnsi" w:eastAsiaTheme="minorEastAsia" w:hAnsiTheme="minorHAnsi" w:cstheme="minorBidi"/>
      <w:szCs w:val="22"/>
      <w:lang w:bidi="en-US"/>
    </w:rPr>
  </w:style>
  <w:style w:type="character" w:customStyle="1" w:styleId="ListParagraphChar">
    <w:name w:val="List Paragraph Char"/>
    <w:basedOn w:val="DefaultParagraphFont"/>
    <w:link w:val="ListParagraph"/>
    <w:uiPriority w:val="34"/>
    <w:locked/>
    <w:rsid w:val="00A1179C"/>
    <w:rPr>
      <w:rFonts w:asciiTheme="minorHAnsi" w:eastAsiaTheme="minorEastAsia" w:hAnsiTheme="minorHAnsi" w:cstheme="minorBidi"/>
      <w:sz w:val="24"/>
      <w:szCs w:val="22"/>
      <w:lang w:bidi="en-US"/>
    </w:rPr>
  </w:style>
  <w:style w:type="character" w:styleId="UnresolvedMention">
    <w:name w:val="Unresolved Mention"/>
    <w:basedOn w:val="DefaultParagraphFont"/>
    <w:uiPriority w:val="99"/>
    <w:semiHidden/>
    <w:unhideWhenUsed/>
    <w:rsid w:val="00B017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4966">
      <w:bodyDiv w:val="1"/>
      <w:marLeft w:val="0"/>
      <w:marRight w:val="0"/>
      <w:marTop w:val="0"/>
      <w:marBottom w:val="0"/>
      <w:divBdr>
        <w:top w:val="none" w:sz="0" w:space="0" w:color="auto"/>
        <w:left w:val="none" w:sz="0" w:space="0" w:color="auto"/>
        <w:bottom w:val="none" w:sz="0" w:space="0" w:color="auto"/>
        <w:right w:val="none" w:sz="0" w:space="0" w:color="auto"/>
      </w:divBdr>
    </w:div>
    <w:div w:id="956988763">
      <w:bodyDiv w:val="1"/>
      <w:marLeft w:val="0"/>
      <w:marRight w:val="0"/>
      <w:marTop w:val="0"/>
      <w:marBottom w:val="0"/>
      <w:divBdr>
        <w:top w:val="none" w:sz="0" w:space="0" w:color="auto"/>
        <w:left w:val="none" w:sz="0" w:space="0" w:color="auto"/>
        <w:bottom w:val="none" w:sz="0" w:space="0" w:color="auto"/>
        <w:right w:val="none" w:sz="0" w:space="0" w:color="auto"/>
      </w:divBdr>
    </w:div>
    <w:div w:id="1022049248">
      <w:bodyDiv w:val="1"/>
      <w:marLeft w:val="0"/>
      <w:marRight w:val="0"/>
      <w:marTop w:val="0"/>
      <w:marBottom w:val="0"/>
      <w:divBdr>
        <w:top w:val="none" w:sz="0" w:space="0" w:color="auto"/>
        <w:left w:val="none" w:sz="0" w:space="0" w:color="auto"/>
        <w:bottom w:val="none" w:sz="0" w:space="0" w:color="auto"/>
        <w:right w:val="none" w:sz="0" w:space="0" w:color="auto"/>
      </w:divBdr>
    </w:div>
    <w:div w:id="1137648588">
      <w:bodyDiv w:val="1"/>
      <w:marLeft w:val="0"/>
      <w:marRight w:val="0"/>
      <w:marTop w:val="0"/>
      <w:marBottom w:val="0"/>
      <w:divBdr>
        <w:top w:val="none" w:sz="0" w:space="0" w:color="auto"/>
        <w:left w:val="none" w:sz="0" w:space="0" w:color="auto"/>
        <w:bottom w:val="none" w:sz="0" w:space="0" w:color="auto"/>
        <w:right w:val="none" w:sz="0" w:space="0" w:color="auto"/>
      </w:divBdr>
    </w:div>
    <w:div w:id="1584145304">
      <w:bodyDiv w:val="1"/>
      <w:marLeft w:val="0"/>
      <w:marRight w:val="0"/>
      <w:marTop w:val="0"/>
      <w:marBottom w:val="0"/>
      <w:divBdr>
        <w:top w:val="none" w:sz="0" w:space="0" w:color="auto"/>
        <w:left w:val="none" w:sz="0" w:space="0" w:color="auto"/>
        <w:bottom w:val="none" w:sz="0" w:space="0" w:color="auto"/>
        <w:right w:val="none" w:sz="0" w:space="0" w:color="auto"/>
      </w:divBdr>
    </w:div>
    <w:div w:id="20667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s.gov/publications/p15b/ar0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ources.ca.gov/bond/Bond_Accountability_and_Audit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a.gov/grants/resources-for-current-grante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c.ca.gov/files/2018/04/RFD-form-Instructions-1.pdf" TargetMode="External"/><Relationship Id="rId4" Type="http://schemas.openxmlformats.org/officeDocument/2006/relationships/settings" Target="settings.xml"/><Relationship Id="rId9" Type="http://schemas.openxmlformats.org/officeDocument/2006/relationships/hyperlink" Target="http://www.calhr.ca.gov/employees/pages/travel-reimbursement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92847-A6F5-4089-9AAB-F2A6D135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State Coastal Conservancy</vt:lpstr>
    </vt:vector>
  </TitlesOfParts>
  <Company>Microsoft</Company>
  <LinksUpToDate>false</LinksUpToDate>
  <CharactersWithSpaces>8090</CharactersWithSpaces>
  <SharedDoc>false</SharedDoc>
  <HLinks>
    <vt:vector size="12" baseType="variant">
      <vt:variant>
        <vt:i4>5046306</vt:i4>
      </vt:variant>
      <vt:variant>
        <vt:i4>18</vt:i4>
      </vt:variant>
      <vt:variant>
        <vt:i4>0</vt:i4>
      </vt:variant>
      <vt:variant>
        <vt:i4>5</vt:i4>
      </vt:variant>
      <vt:variant>
        <vt:lpwstr>http://www.irs.gov/publications/p15b/ar02.html</vt:lpwstr>
      </vt:variant>
      <vt:variant>
        <vt:lpwstr>en_US_2013_publink1000193623</vt:lpwstr>
      </vt:variant>
      <vt:variant>
        <vt:i4>6160435</vt:i4>
      </vt:variant>
      <vt:variant>
        <vt:i4>3</vt:i4>
      </vt:variant>
      <vt:variant>
        <vt:i4>0</vt:i4>
      </vt:variant>
      <vt:variant>
        <vt:i4>5</vt:i4>
      </vt:variant>
      <vt:variant>
        <vt:lpwstr>http://www.resources.ca.gov/bond/Bond_Accountability_and_Audits.pdf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Coastal Conservancy</dc:title>
  <dc:creator>Coastal Conservancy</dc:creator>
  <cp:lastModifiedBy>Samuelson, Taylor@SCC</cp:lastModifiedBy>
  <cp:revision>5</cp:revision>
  <cp:lastPrinted>2019-04-17T00:05:00Z</cp:lastPrinted>
  <dcterms:created xsi:type="dcterms:W3CDTF">2020-02-12T19:22:00Z</dcterms:created>
  <dcterms:modified xsi:type="dcterms:W3CDTF">2020-02-20T00:36:00Z</dcterms:modified>
</cp:coreProperties>
</file>